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7" w:rsidRDefault="005D4BA7" w:rsidP="005D4BA7">
      <w:pPr>
        <w:tabs>
          <w:tab w:val="left" w:pos="8080"/>
        </w:tabs>
        <w:ind w:left="7655"/>
        <w:jc w:val="both"/>
      </w:pPr>
      <w:r>
        <w:t>Gairių</w:t>
      </w:r>
      <w:r w:rsidRPr="00A52C34">
        <w:t xml:space="preserve"> pareiškėjams, teikiantiems projektų papildomoms veiklos sąnaudoms finansuoti paraiškas pagal Sienų valdymo ir vizų finansinės paramos priemonę, įtrauktą į </w:t>
      </w:r>
      <w:r>
        <w:t>Integruoto sienų valdymo fondą,</w:t>
      </w:r>
      <w:r>
        <w:rPr>
          <w:szCs w:val="24"/>
        </w:rPr>
        <w:t xml:space="preserve"> </w:t>
      </w:r>
    </w:p>
    <w:p w:rsidR="005D4BA7" w:rsidRDefault="005D4BA7" w:rsidP="005D4BA7">
      <w:pPr>
        <w:tabs>
          <w:tab w:val="left" w:pos="7797"/>
        </w:tabs>
        <w:ind w:left="7655"/>
        <w:jc w:val="both"/>
        <w:rPr>
          <w:szCs w:val="24"/>
        </w:rPr>
      </w:pPr>
      <w:r>
        <w:rPr>
          <w:szCs w:val="24"/>
        </w:rPr>
        <w:t>1 priedas</w:t>
      </w:r>
    </w:p>
    <w:p w:rsidR="005D4BA7" w:rsidRDefault="005D4BA7" w:rsidP="005D4BA7">
      <w:pPr>
        <w:jc w:val="center"/>
        <w:rPr>
          <w:b/>
          <w:caps/>
          <w:szCs w:val="24"/>
        </w:rPr>
      </w:pPr>
    </w:p>
    <w:p w:rsidR="005D4BA7" w:rsidRDefault="005D4BA7" w:rsidP="005D4BA7">
      <w:pPr>
        <w:jc w:val="center"/>
        <w:rPr>
          <w:b/>
          <w:caps/>
          <w:szCs w:val="24"/>
        </w:rPr>
      </w:pPr>
    </w:p>
    <w:p w:rsidR="005D4BA7" w:rsidRDefault="005D4BA7" w:rsidP="005D4BA7">
      <w:pPr>
        <w:jc w:val="center"/>
        <w:rPr>
          <w:b/>
          <w:caps/>
          <w:szCs w:val="24"/>
        </w:rPr>
      </w:pPr>
      <w:r>
        <w:rPr>
          <w:b/>
          <w:caps/>
          <w:szCs w:val="24"/>
        </w:rPr>
        <w:t>VEIKLOS PrOjekto pirkimui Reikalingos kainos apskaičiavimas. RINKOS TYRIMAS</w:t>
      </w:r>
    </w:p>
    <w:p w:rsidR="005D4BA7" w:rsidRDefault="005D4BA7" w:rsidP="005D4BA7">
      <w:pPr>
        <w:rPr>
          <w:sz w:val="20"/>
        </w:rPr>
      </w:pPr>
    </w:p>
    <w:tbl>
      <w:tblPr>
        <w:tblW w:w="14175" w:type="dxa"/>
        <w:tblInd w:w="108" w:type="dxa"/>
        <w:tblLook w:val="04A0" w:firstRow="1" w:lastRow="0" w:firstColumn="1" w:lastColumn="0" w:noHBand="0" w:noVBand="1"/>
      </w:tblPr>
      <w:tblGrid>
        <w:gridCol w:w="1023"/>
        <w:gridCol w:w="4975"/>
        <w:gridCol w:w="8177"/>
      </w:tblGrid>
      <w:tr w:rsidR="005D4BA7" w:rsidTr="00BE2584">
        <w:trPr>
          <w:trHeight w:val="363"/>
        </w:trPr>
        <w:tc>
          <w:tcPr>
            <w:tcW w:w="1417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rsidR="005D4BA7" w:rsidRDefault="005D4BA7" w:rsidP="00BE2584">
            <w:pPr>
              <w:spacing w:line="256" w:lineRule="auto"/>
              <w:rPr>
                <w:sz w:val="10"/>
                <w:szCs w:val="10"/>
              </w:rPr>
            </w:pPr>
          </w:p>
          <w:p w:rsidR="005D4BA7" w:rsidRDefault="005D4BA7" w:rsidP="00BE2584">
            <w:pPr>
              <w:spacing w:line="256" w:lineRule="auto"/>
              <w:jc w:val="center"/>
              <w:rPr>
                <w:b/>
                <w:bCs/>
                <w:color w:val="000000"/>
                <w:sz w:val="32"/>
                <w:szCs w:val="32"/>
              </w:rPr>
            </w:pPr>
            <w:r>
              <w:rPr>
                <w:b/>
                <w:bCs/>
                <w:color w:val="000000"/>
                <w:sz w:val="28"/>
                <w:szCs w:val="32"/>
              </w:rPr>
              <w:t>I. Pirkimo objektas</w:t>
            </w:r>
          </w:p>
        </w:tc>
      </w:tr>
      <w:tr w:rsidR="005D4BA7" w:rsidTr="00BE2584">
        <w:trPr>
          <w:trHeight w:val="915"/>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t>1.</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jc w:val="both"/>
              <w:rPr>
                <w:color w:val="000000"/>
                <w:szCs w:val="24"/>
              </w:rPr>
            </w:pPr>
            <w:r>
              <w:rPr>
                <w:color w:val="000000"/>
                <w:szCs w:val="24"/>
              </w:rPr>
              <w:t>Pirkimo objektas*</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rsidR="005D4BA7" w:rsidRDefault="005D4BA7" w:rsidP="00BE2584">
            <w:pPr>
              <w:spacing w:line="256" w:lineRule="auto"/>
              <w:jc w:val="both"/>
              <w:rPr>
                <w:i/>
                <w:iCs/>
                <w:color w:val="000000"/>
                <w:szCs w:val="24"/>
              </w:rPr>
            </w:pPr>
            <w:r>
              <w:rPr>
                <w:i/>
                <w:iCs/>
                <w:color w:val="000000"/>
                <w:szCs w:val="24"/>
              </w:rPr>
              <w:t xml:space="preserve">Trumpai apibrėžiamas pirkimo objektas (kiek, kokių prekių, paslaugų, darbų numatoma pirkti). </w:t>
            </w:r>
          </w:p>
          <w:p w:rsidR="005D4BA7" w:rsidRDefault="005D4BA7" w:rsidP="00BE2584">
            <w:pPr>
              <w:spacing w:line="256" w:lineRule="auto"/>
              <w:jc w:val="both"/>
              <w:rPr>
                <w:i/>
                <w:iCs/>
                <w:color w:val="000000"/>
                <w:szCs w:val="24"/>
              </w:rPr>
            </w:pPr>
            <w:r>
              <w:rPr>
                <w:i/>
                <w:iCs/>
                <w:color w:val="000000"/>
                <w:szCs w:val="24"/>
              </w:rPr>
              <w:t xml:space="preserve">Jei pirkimas veiklos projekto įgyvendinimo metu vykdant viešąjį pirkimą bus skaidomas į dalis ir (ar) pagal Lietuvos Respublikos viešųjų pirkimų įstatymą (toliau – Viešųjų pirkimų įstatymas) pirkimą privalu skaidyti į dalis kiekybiniu, kokybiniu pagrindu arba pagal skirtingus jo įgyvendinimo etapus, rinkos tyrimą rekomenduotina atlikti kiekvienai pirkimo daliai (pvz., jei veiklos projektui reikalingos vertimo į anglų ir norvegų kalbas paslaugos, vertimų į skirtingas kalbas paslaugos turėtų būti perkamos atskirai ir rinkos tyrimą rekomenduotina atlikti kiekvienai paslaugai atskirai). </w:t>
            </w:r>
          </w:p>
          <w:p w:rsidR="005D4BA7" w:rsidRDefault="005D4BA7" w:rsidP="00BE2584">
            <w:pPr>
              <w:spacing w:line="256" w:lineRule="auto"/>
              <w:jc w:val="both"/>
              <w:rPr>
                <w:i/>
                <w:iCs/>
                <w:color w:val="000000"/>
                <w:szCs w:val="24"/>
              </w:rPr>
            </w:pPr>
            <w:r>
              <w:rPr>
                <w:i/>
              </w:rPr>
              <w:t>P</w:t>
            </w:r>
            <w:r>
              <w:rPr>
                <w:i/>
                <w:iCs/>
                <w:color w:val="000000"/>
                <w:szCs w:val="24"/>
              </w:rPr>
              <w:t xml:space="preserve">irkimo objektų apjungimas į vieną paraiškos pateikimo etape, nereiškia, kad vykdant veiklos projektą pirkimas neturės būti skaidomas kiekybiniu, kokybiniu pagrindu arba pagal skirtingus jo įgyvendinimo etapus (Viešųjų pirkimų įstatymo 28 straipsnio 1 dalis).  </w:t>
            </w:r>
          </w:p>
        </w:tc>
      </w:tr>
      <w:tr w:rsidR="005D4BA7" w:rsidTr="00BE2584">
        <w:trPr>
          <w:trHeight w:val="689"/>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t>2.</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jc w:val="both"/>
              <w:rPr>
                <w:color w:val="000000"/>
                <w:szCs w:val="24"/>
              </w:rPr>
            </w:pPr>
            <w:r>
              <w:rPr>
                <w:color w:val="000000"/>
                <w:szCs w:val="24"/>
              </w:rPr>
              <w:t>Techninė specifikacija* (</w:t>
            </w:r>
            <w:r>
              <w:rPr>
                <w:i/>
                <w:color w:val="000000"/>
              </w:rPr>
              <w:t>rekomenduotina techninę specifikaciją pateikti atskiriame dokumente tik tokiu atveju, jei jos aprašymas viršija pusę puslapio</w:t>
            </w:r>
            <w:r>
              <w:rPr>
                <w:color w:val="000000"/>
                <w:szCs w:val="24"/>
              </w:rPr>
              <w:t>)</w:t>
            </w:r>
          </w:p>
        </w:tc>
        <w:tc>
          <w:tcPr>
            <w:tcW w:w="8177" w:type="dxa"/>
            <w:tcBorders>
              <w:top w:val="single" w:sz="8" w:space="0" w:color="auto"/>
              <w:left w:val="nil"/>
              <w:bottom w:val="single" w:sz="8" w:space="0" w:color="auto"/>
              <w:right w:val="single" w:sz="8" w:space="0" w:color="auto"/>
            </w:tcBorders>
            <w:shd w:val="clear" w:color="auto" w:fill="E7E6E6"/>
            <w:vAlign w:val="center"/>
          </w:tcPr>
          <w:p w:rsidR="005D4BA7" w:rsidRDefault="005D4BA7" w:rsidP="00BE2584">
            <w:pPr>
              <w:spacing w:line="256" w:lineRule="auto"/>
              <w:jc w:val="both"/>
              <w:rPr>
                <w:i/>
                <w:iCs/>
                <w:color w:val="000000"/>
                <w:szCs w:val="24"/>
              </w:rPr>
            </w:pPr>
            <w:r>
              <w:rPr>
                <w:i/>
                <w:iCs/>
                <w:color w:val="000000"/>
                <w:szCs w:val="24"/>
              </w:rPr>
              <w:t xml:space="preserve">Nurodoma: </w:t>
            </w:r>
          </w:p>
          <w:p w:rsidR="005D4BA7" w:rsidRDefault="005D4BA7" w:rsidP="00BE2584">
            <w:pPr>
              <w:spacing w:line="256" w:lineRule="auto"/>
              <w:jc w:val="both"/>
              <w:rPr>
                <w:i/>
                <w:iCs/>
                <w:color w:val="000000"/>
                <w:szCs w:val="24"/>
              </w:rPr>
            </w:pPr>
            <w:r>
              <w:rPr>
                <w:i/>
                <w:iCs/>
                <w:color w:val="000000"/>
                <w:szCs w:val="24"/>
              </w:rPr>
              <w:t xml:space="preserve">1) charakteristikos, kurios  yra būtinos perkančiosios organizacijos (toliau – PO) tikslams pasiekti; terminai. Rekomenduotina aiškiai išskirti charakteristikas, kurių masinės gamybos prekė netenkina, t. y., ką tiekėjas turi pagaminti (pritaikyti) pagal specialius PO poreikius; </w:t>
            </w:r>
          </w:p>
          <w:p w:rsidR="005D4BA7" w:rsidRDefault="005D4BA7" w:rsidP="00BE2584">
            <w:pPr>
              <w:spacing w:line="256" w:lineRule="auto"/>
              <w:jc w:val="both"/>
              <w:rPr>
                <w:i/>
                <w:iCs/>
                <w:color w:val="000000"/>
                <w:szCs w:val="24"/>
              </w:rPr>
            </w:pPr>
            <w:r>
              <w:rPr>
                <w:i/>
                <w:iCs/>
                <w:color w:val="000000"/>
                <w:szCs w:val="24"/>
              </w:rPr>
              <w:t>2) (jei taikoma) charakteristikos, kurios neprivalomos, tačiau PO pageidaujamos.</w:t>
            </w:r>
          </w:p>
          <w:p w:rsidR="005D4BA7" w:rsidRDefault="005D4BA7" w:rsidP="00BE2584">
            <w:pPr>
              <w:spacing w:line="256" w:lineRule="auto"/>
              <w:jc w:val="both"/>
              <w:rPr>
                <w:i/>
                <w:iCs/>
                <w:color w:val="000000"/>
                <w:szCs w:val="24"/>
              </w:rPr>
            </w:pPr>
            <w:r>
              <w:rPr>
                <w:i/>
                <w:iCs/>
                <w:color w:val="000000"/>
                <w:szCs w:val="24"/>
              </w:rPr>
              <w:lastRenderedPageBreak/>
              <w:t xml:space="preserve">Ateityje vykdant pirkimą, PO pageidautinos charakteristikos gali būti nurodomos kaip ekonominio naudingumo vertinimo kriterijai. </w:t>
            </w:r>
          </w:p>
          <w:p w:rsidR="005D4BA7" w:rsidRDefault="005D4BA7" w:rsidP="00BE2584">
            <w:pPr>
              <w:spacing w:line="256" w:lineRule="auto"/>
              <w:jc w:val="both"/>
              <w:rPr>
                <w:i/>
                <w:iCs/>
                <w:color w:val="000000"/>
                <w:szCs w:val="24"/>
              </w:rPr>
            </w:pPr>
            <w:r>
              <w:rPr>
                <w:i/>
                <w:iCs/>
                <w:color w:val="000000"/>
                <w:szCs w:val="24"/>
              </w:rPr>
              <w:t>Techninė specifikacija negali būti diskriminacinė ir nepagrįstai ribojanti konkurenciją.</w:t>
            </w:r>
          </w:p>
          <w:p w:rsidR="005D4BA7" w:rsidRDefault="005D4BA7" w:rsidP="00BE2584">
            <w:pPr>
              <w:spacing w:line="256" w:lineRule="auto"/>
              <w:jc w:val="both"/>
              <w:rPr>
                <w:i/>
                <w:iCs/>
                <w:color w:val="000000"/>
                <w:szCs w:val="24"/>
              </w:rPr>
            </w:pPr>
          </w:p>
          <w:p w:rsidR="005D4BA7" w:rsidRDefault="005D4BA7" w:rsidP="00BE2584">
            <w:pPr>
              <w:spacing w:line="256" w:lineRule="auto"/>
              <w:jc w:val="both"/>
              <w:rPr>
                <w:i/>
                <w:color w:val="000000"/>
                <w:szCs w:val="24"/>
              </w:rPr>
            </w:pPr>
            <w:r>
              <w:rPr>
                <w:i/>
                <w:color w:val="000000"/>
                <w:szCs w:val="24"/>
              </w:rPr>
              <w:t xml:space="preserve">Atliekant rinkos tyrimą, </w:t>
            </w:r>
            <w:r>
              <w:rPr>
                <w:b/>
                <w:i/>
                <w:color w:val="000000"/>
                <w:szCs w:val="24"/>
              </w:rPr>
              <w:t>reiktų naudoti tą techninę specifikaciją, kuri bus naudojama pirkimui atlikti</w:t>
            </w:r>
            <w:r>
              <w:rPr>
                <w:color w:val="000000"/>
                <w:szCs w:val="24"/>
              </w:rPr>
              <w:t xml:space="preserve">. </w:t>
            </w:r>
            <w:r>
              <w:rPr>
                <w:i/>
                <w:color w:val="000000"/>
                <w:szCs w:val="24"/>
              </w:rPr>
              <w:t xml:space="preserve">Tai užtikrina tikslesnį rinkos tyrimo rezultatą. </w:t>
            </w:r>
          </w:p>
        </w:tc>
      </w:tr>
      <w:tr w:rsidR="005D4BA7" w:rsidTr="00BE2584">
        <w:trPr>
          <w:trHeight w:val="399"/>
        </w:trPr>
        <w:tc>
          <w:tcPr>
            <w:tcW w:w="1417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rsidR="005D4BA7" w:rsidRDefault="005D4BA7" w:rsidP="00BE2584">
            <w:pPr>
              <w:spacing w:line="256" w:lineRule="auto"/>
              <w:rPr>
                <w:sz w:val="10"/>
                <w:szCs w:val="10"/>
              </w:rPr>
            </w:pPr>
          </w:p>
          <w:p w:rsidR="005D4BA7" w:rsidRDefault="005D4BA7" w:rsidP="00BE2584">
            <w:pPr>
              <w:spacing w:line="256" w:lineRule="auto"/>
              <w:jc w:val="both"/>
              <w:rPr>
                <w:b/>
                <w:bCs/>
                <w:color w:val="000000"/>
                <w:sz w:val="28"/>
                <w:szCs w:val="32"/>
              </w:rPr>
            </w:pPr>
            <w:r>
              <w:rPr>
                <w:b/>
                <w:bCs/>
                <w:color w:val="000000"/>
                <w:sz w:val="28"/>
                <w:szCs w:val="32"/>
              </w:rPr>
              <w:t xml:space="preserve">II. Rinkos apžvalga. </w:t>
            </w:r>
          </w:p>
          <w:p w:rsidR="005D4BA7" w:rsidRDefault="005D4BA7" w:rsidP="00BE2584">
            <w:pPr>
              <w:spacing w:line="256" w:lineRule="auto"/>
              <w:rPr>
                <w:sz w:val="10"/>
                <w:szCs w:val="10"/>
              </w:rPr>
            </w:pPr>
          </w:p>
          <w:p w:rsidR="005D4BA7" w:rsidRDefault="005D4BA7" w:rsidP="00BE2584">
            <w:pPr>
              <w:spacing w:line="256" w:lineRule="auto"/>
              <w:jc w:val="both"/>
              <w:rPr>
                <w:bCs/>
                <w:color w:val="000000"/>
                <w:szCs w:val="24"/>
              </w:rPr>
            </w:pPr>
            <w:r>
              <w:rPr>
                <w:bCs/>
                <w:color w:val="000000"/>
                <w:szCs w:val="24"/>
              </w:rPr>
              <w:t xml:space="preserve">Rekomendacijos: </w:t>
            </w:r>
          </w:p>
          <w:p w:rsidR="005D4BA7" w:rsidRDefault="005D4BA7" w:rsidP="00BE2584">
            <w:pPr>
              <w:spacing w:line="256" w:lineRule="auto"/>
              <w:rPr>
                <w:sz w:val="10"/>
                <w:szCs w:val="10"/>
              </w:rPr>
            </w:pPr>
          </w:p>
          <w:p w:rsidR="005D4BA7" w:rsidRDefault="005D4BA7" w:rsidP="00BE2584">
            <w:pPr>
              <w:spacing w:line="256" w:lineRule="auto"/>
              <w:jc w:val="both"/>
              <w:rPr>
                <w:bCs/>
                <w:color w:val="000000"/>
                <w:szCs w:val="24"/>
              </w:rPr>
            </w:pPr>
            <w:r>
              <w:rPr>
                <w:bCs/>
                <w:color w:val="000000"/>
                <w:szCs w:val="24"/>
              </w:rPr>
              <w:t xml:space="preserve">Rekomenduotina pasirinkti ne mažiau kaip du lentelės II dalies 1-7 punktuose nurodytus informacijos surinkimo (rinkos tyrimo) būdus. </w:t>
            </w:r>
          </w:p>
          <w:p w:rsidR="005D4BA7" w:rsidRDefault="005D4BA7" w:rsidP="00BE2584">
            <w:pPr>
              <w:spacing w:line="256" w:lineRule="auto"/>
              <w:rPr>
                <w:sz w:val="10"/>
                <w:szCs w:val="10"/>
              </w:rPr>
            </w:pPr>
          </w:p>
          <w:p w:rsidR="005D4BA7" w:rsidRDefault="005D4BA7" w:rsidP="00BE2584">
            <w:pPr>
              <w:spacing w:line="256" w:lineRule="auto"/>
              <w:jc w:val="both"/>
              <w:rPr>
                <w:bCs/>
                <w:color w:val="000000"/>
                <w:szCs w:val="24"/>
              </w:rPr>
            </w:pPr>
            <w:r>
              <w:rPr>
                <w:bCs/>
                <w:color w:val="000000"/>
                <w:szCs w:val="24"/>
              </w:rPr>
              <w:t>Siekiant nustatyti objektyviai pagrįstą kainą, rekomenduotina įvertinti kuo didesnį potencialių tiekėjų skaičių. Jei PO žinomi iki 10 (dešimt) rinkoje veikiančių ir pirkimo objektą siūlančių tiekėjų, rekomenduotina įvertinti ne mažiau kaip 5 (penkių) tiekėjų siūlomą kainą.</w:t>
            </w:r>
          </w:p>
          <w:p w:rsidR="005D4BA7" w:rsidRDefault="005D4BA7" w:rsidP="00BE2584">
            <w:pPr>
              <w:spacing w:line="256" w:lineRule="auto"/>
              <w:rPr>
                <w:sz w:val="10"/>
                <w:szCs w:val="10"/>
              </w:rPr>
            </w:pPr>
          </w:p>
          <w:p w:rsidR="005D4BA7" w:rsidRDefault="005D4BA7" w:rsidP="00BE2584">
            <w:pPr>
              <w:spacing w:line="256" w:lineRule="auto"/>
              <w:jc w:val="both"/>
              <w:rPr>
                <w:bCs/>
                <w:color w:val="000000"/>
                <w:szCs w:val="24"/>
              </w:rPr>
            </w:pPr>
            <w:r>
              <w:rPr>
                <w:bCs/>
                <w:color w:val="000000"/>
                <w:szCs w:val="24"/>
              </w:rPr>
              <w:t xml:space="preserve">Jei tiekėjų daugiau nei 10 (dešimt), rekomenduotina įvertinti ne mažiau kaip 50 procentų tiekėjų siūlomų kainų. </w:t>
            </w:r>
          </w:p>
          <w:p w:rsidR="005D4BA7" w:rsidRDefault="005D4BA7" w:rsidP="00BE2584">
            <w:pPr>
              <w:spacing w:line="256" w:lineRule="auto"/>
              <w:rPr>
                <w:sz w:val="10"/>
                <w:szCs w:val="10"/>
              </w:rPr>
            </w:pPr>
          </w:p>
          <w:p w:rsidR="005D4BA7" w:rsidRDefault="005D4BA7" w:rsidP="00BE2584">
            <w:pPr>
              <w:spacing w:line="256" w:lineRule="auto"/>
              <w:jc w:val="both"/>
              <w:rPr>
                <w:bCs/>
                <w:color w:val="000000"/>
                <w:szCs w:val="24"/>
              </w:rPr>
            </w:pPr>
            <w:r>
              <w:rPr>
                <w:bCs/>
                <w:color w:val="000000"/>
                <w:szCs w:val="24"/>
              </w:rPr>
              <w:t>Rekomenduotina įvertinti galimybę pirkti iš viešosios įstaigos CPO LT elektroninio katalogo arba Viešųjų pirkimų įstatymo 23 str. nurodytų tiekėjų.</w:t>
            </w:r>
          </w:p>
          <w:p w:rsidR="005D4BA7" w:rsidRDefault="005D4BA7" w:rsidP="00BE2584">
            <w:pPr>
              <w:spacing w:line="256" w:lineRule="auto"/>
              <w:rPr>
                <w:sz w:val="10"/>
                <w:szCs w:val="10"/>
              </w:rPr>
            </w:pPr>
          </w:p>
          <w:p w:rsidR="005D4BA7" w:rsidRDefault="005D4BA7" w:rsidP="00BE2584">
            <w:pPr>
              <w:spacing w:line="256" w:lineRule="auto"/>
              <w:jc w:val="both"/>
              <w:rPr>
                <w:bCs/>
                <w:color w:val="000000"/>
                <w:szCs w:val="24"/>
              </w:rPr>
            </w:pPr>
            <w:r>
              <w:rPr>
                <w:bCs/>
                <w:color w:val="000000"/>
                <w:szCs w:val="24"/>
              </w:rPr>
              <w:t xml:space="preserve">Privaloma: </w:t>
            </w:r>
          </w:p>
          <w:p w:rsidR="005D4BA7" w:rsidRDefault="005D4BA7" w:rsidP="00BE2584">
            <w:pPr>
              <w:spacing w:line="256" w:lineRule="auto"/>
              <w:rPr>
                <w:sz w:val="10"/>
                <w:szCs w:val="10"/>
              </w:rPr>
            </w:pPr>
          </w:p>
          <w:p w:rsidR="005D4BA7" w:rsidRDefault="005D4BA7" w:rsidP="00BE2584">
            <w:pPr>
              <w:spacing w:line="256" w:lineRule="auto"/>
              <w:jc w:val="both"/>
              <w:rPr>
                <w:bCs/>
                <w:color w:val="000000"/>
                <w:szCs w:val="24"/>
              </w:rPr>
            </w:pPr>
            <w:r>
              <w:rPr>
                <w:bCs/>
                <w:color w:val="000000"/>
                <w:szCs w:val="24"/>
              </w:rPr>
              <w:t xml:space="preserve">Jei numatoma pirkimo objekto vertė mažesnė kaip mažesnė kaip 10 000 Eur  be PVM,  būtina įvertinti ne mažiau kaip 1 (vieno) tiekėjo pasiūlymą. Jei numatoma pirkimo objekto vertė siekia 10 000 Eur be PVM, bet neviršija 58 000 eurų be PVM, būtina įvertinti ne mažiau 3 (trijų) tiekėjų pasiūlymus. </w:t>
            </w:r>
          </w:p>
          <w:p w:rsidR="005D4BA7" w:rsidRDefault="005D4BA7" w:rsidP="00BE2584">
            <w:pPr>
              <w:spacing w:line="256" w:lineRule="auto"/>
              <w:rPr>
                <w:sz w:val="10"/>
                <w:szCs w:val="10"/>
              </w:rPr>
            </w:pPr>
          </w:p>
          <w:p w:rsidR="005D4BA7" w:rsidRDefault="005D4BA7" w:rsidP="00BE2584">
            <w:pPr>
              <w:spacing w:line="256" w:lineRule="auto"/>
              <w:jc w:val="both"/>
              <w:rPr>
                <w:bCs/>
                <w:color w:val="000000"/>
                <w:szCs w:val="24"/>
              </w:rPr>
            </w:pPr>
            <w:r>
              <w:rPr>
                <w:bCs/>
                <w:color w:val="000000"/>
                <w:szCs w:val="24"/>
              </w:rPr>
              <w:t xml:space="preserve">Jei numatoma pirkimo objekto vertė yra lygi 58 000 Eur be PVM arba šią sumą viršija, būtina įvertinti ne mažiau 5 (penkių) tiekėjų pasiūlymus. </w:t>
            </w:r>
          </w:p>
          <w:p w:rsidR="005D4BA7" w:rsidRPr="00077120" w:rsidRDefault="005D4BA7" w:rsidP="00BE2584">
            <w:pPr>
              <w:spacing w:line="256" w:lineRule="auto"/>
              <w:jc w:val="both"/>
              <w:rPr>
                <w:bCs/>
                <w:color w:val="000000"/>
                <w:sz w:val="10"/>
                <w:szCs w:val="10"/>
              </w:rPr>
            </w:pPr>
          </w:p>
          <w:p w:rsidR="005D4BA7" w:rsidRDefault="005D4BA7" w:rsidP="00BE2584">
            <w:pPr>
              <w:spacing w:line="256" w:lineRule="auto"/>
              <w:jc w:val="both"/>
              <w:rPr>
                <w:bCs/>
                <w:color w:val="000000"/>
                <w:szCs w:val="24"/>
              </w:rPr>
            </w:pPr>
            <w:r>
              <w:rPr>
                <w:szCs w:val="24"/>
              </w:rPr>
              <w:t>Jei veiklos projekto pirkimą numatoma vykdyti pagal Pirkimų, susijusių su žvalgybinio pobūdžio veikla, tvarkos aprašą, patvirtintą Lietuvos Respublikos Vyriausybės 2015 m. kovo 18 d.</w:t>
            </w:r>
            <w:r>
              <w:rPr>
                <w:color w:val="000000"/>
                <w:szCs w:val="24"/>
              </w:rPr>
              <w:t xml:space="preserve"> </w:t>
            </w:r>
            <w:r>
              <w:rPr>
                <w:szCs w:val="24"/>
              </w:rPr>
              <w:t xml:space="preserve">nutarimu </w:t>
            </w:r>
            <w:r>
              <w:rPr>
                <w:color w:val="000000"/>
                <w:szCs w:val="24"/>
              </w:rPr>
              <w:t xml:space="preserve">Nr. </w:t>
            </w:r>
            <w:r>
              <w:rPr>
                <w:szCs w:val="24"/>
              </w:rPr>
              <w:t>282 „Dėl pirkimų, susijusių su žvalgybinio pobūdžio veikla, tvarkos aprašo patvirtinimo“ (toliau – Pirkimų aprašas), neskelbiamų derybų su vieninteliu tiekėju būdu, būtina įvertinti ne mažiau kaip 1 (vieno) tiekėjo preliminarų pasiūlymą, jei pirkimą numatoma vykdyti uždaro konkurso būdų – ne mažiau kaip 2 (dviejų) tiekėjų preliminarius pasiūlymus.</w:t>
            </w:r>
          </w:p>
          <w:p w:rsidR="005D4BA7" w:rsidRDefault="005D4BA7" w:rsidP="00BE2584">
            <w:pPr>
              <w:spacing w:line="256" w:lineRule="auto"/>
              <w:rPr>
                <w:sz w:val="10"/>
                <w:szCs w:val="10"/>
              </w:rPr>
            </w:pPr>
          </w:p>
          <w:p w:rsidR="005D4BA7" w:rsidRDefault="005D4BA7" w:rsidP="00BE2584">
            <w:pPr>
              <w:spacing w:line="256" w:lineRule="auto"/>
              <w:jc w:val="both"/>
              <w:rPr>
                <w:bCs/>
                <w:color w:val="000000"/>
                <w:szCs w:val="24"/>
              </w:rPr>
            </w:pPr>
            <w:r>
              <w:rPr>
                <w:bCs/>
                <w:color w:val="000000"/>
                <w:szCs w:val="24"/>
              </w:rPr>
              <w:t xml:space="preserve">Mažesnis tiekėjų pasiūlymų skaičius gali būti įvertintas tik Gairių pareiškėjams 12 punkte numatytais atvejais. </w:t>
            </w:r>
          </w:p>
        </w:tc>
      </w:tr>
      <w:tr w:rsidR="005D4BA7" w:rsidTr="00BE2584">
        <w:trPr>
          <w:trHeight w:val="1245"/>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lastRenderedPageBreak/>
              <w:t>1.</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jc w:val="both"/>
              <w:rPr>
                <w:color w:val="000000"/>
                <w:szCs w:val="24"/>
              </w:rPr>
            </w:pPr>
            <w:r>
              <w:rPr>
                <w:color w:val="000000"/>
                <w:szCs w:val="24"/>
              </w:rPr>
              <w:t>Nurodomi visi tiekėjai, kurių informaciją apie pirkimo objektą PO vertino ir (arba), į kuriuos PO kreipėsi, tačiau tiekėjai atsakymo nepateikė*</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rsidR="005D4BA7" w:rsidRDefault="005D4BA7" w:rsidP="00BE2584">
            <w:pPr>
              <w:spacing w:line="256" w:lineRule="auto"/>
              <w:jc w:val="both"/>
              <w:rPr>
                <w:i/>
                <w:iCs/>
                <w:color w:val="000000"/>
                <w:szCs w:val="24"/>
              </w:rPr>
            </w:pPr>
            <w:r>
              <w:rPr>
                <w:i/>
                <w:iCs/>
                <w:color w:val="000000"/>
                <w:szCs w:val="24"/>
              </w:rPr>
              <w:t>Nurodomi tiekėjų pavadinimai.</w:t>
            </w:r>
          </w:p>
        </w:tc>
      </w:tr>
      <w:tr w:rsidR="005D4BA7" w:rsidTr="00BE2584">
        <w:trPr>
          <w:trHeight w:val="835"/>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t>2.</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jc w:val="both"/>
            </w:pPr>
            <w:r>
              <w:rPr>
                <w:color w:val="000000"/>
                <w:szCs w:val="24"/>
              </w:rPr>
              <w:t>Tiekėjai per paskutinius trejus metus dalyvavę ir (arba) laimėję analogiškuose ar panašiuose PO pirkimuose ir jų pasiūlyta kaina</w:t>
            </w:r>
            <w:r>
              <w:t xml:space="preserve"> </w:t>
            </w:r>
          </w:p>
          <w:p w:rsidR="005D4BA7" w:rsidRDefault="005D4BA7" w:rsidP="00BE2584">
            <w:pPr>
              <w:spacing w:line="256" w:lineRule="auto"/>
              <w:jc w:val="both"/>
              <w:rPr>
                <w:color w:val="000000"/>
                <w:sz w:val="20"/>
              </w:rPr>
            </w:pPr>
            <w:r>
              <w:rPr>
                <w:color w:val="000000"/>
                <w:sz w:val="20"/>
              </w:rPr>
              <w:t xml:space="preserve">*Panašus pirkimas šios lentelės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pagrįstai atsižvelgti skaičiuodama pirkimui reikalingą lėšų sumą. Argumentai, kurių pagrindu koreguojama ankstesniuose panašiuose pirkimuose pasiūlyta kaina, nurodomi 8 punkte.  </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rsidR="005D4BA7" w:rsidRDefault="005D4BA7" w:rsidP="00BE2584">
            <w:pPr>
              <w:spacing w:line="256" w:lineRule="auto"/>
              <w:jc w:val="both"/>
              <w:rPr>
                <w:i/>
                <w:iCs/>
                <w:color w:val="000000"/>
                <w:szCs w:val="24"/>
              </w:rPr>
            </w:pPr>
            <w:r>
              <w:rPr>
                <w:i/>
                <w:iCs/>
                <w:color w:val="000000"/>
                <w:szCs w:val="24"/>
              </w:rPr>
              <w:t xml:space="preserve">Jei taikoma, nurodomi tiekėjų pavadinimai, data, kada buvo pateiktas pasiūlymas PO, kaina, koks tiekėjas laimėjo, viešojo pirkimo-pardavimo sutarties sudarymo data ir numeris. </w:t>
            </w:r>
          </w:p>
        </w:tc>
      </w:tr>
      <w:tr w:rsidR="005D4BA7" w:rsidTr="00BE2584">
        <w:trPr>
          <w:trHeight w:val="1245"/>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t>3.</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jc w:val="both"/>
              <w:rPr>
                <w:color w:val="000000"/>
                <w:szCs w:val="24"/>
              </w:rPr>
            </w:pPr>
            <w:r>
              <w:rPr>
                <w:color w:val="000000"/>
                <w:szCs w:val="24"/>
              </w:rPr>
              <w:t>Tiekėjai per paskutinius trejus metus laimėję kitų PO panašiuose pirkimuose, ir jų pasiūlyta kaina</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rsidR="005D4BA7" w:rsidRDefault="005D4BA7" w:rsidP="00BE2584">
            <w:pPr>
              <w:spacing w:line="256" w:lineRule="auto"/>
              <w:jc w:val="both"/>
              <w:rPr>
                <w:i/>
                <w:iCs/>
                <w:color w:val="000000"/>
                <w:szCs w:val="24"/>
              </w:rPr>
            </w:pPr>
            <w:r>
              <w:rPr>
                <w:i/>
                <w:iCs/>
                <w:color w:val="000000"/>
                <w:szCs w:val="24"/>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Pr>
                <w:i/>
                <w:iCs/>
                <w:szCs w:val="24"/>
              </w:rPr>
              <w:t xml:space="preserve">arba panašių techninių/funkcinių parametrų </w:t>
            </w:r>
            <w:r>
              <w:rPr>
                <w:i/>
                <w:iCs/>
                <w:color w:val="000000"/>
                <w:szCs w:val="24"/>
              </w:rPr>
              <w:t>pirkimo objektą.</w:t>
            </w:r>
          </w:p>
        </w:tc>
      </w:tr>
      <w:tr w:rsidR="005D4BA7" w:rsidTr="00BE2584">
        <w:trPr>
          <w:trHeight w:val="1245"/>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t>4.</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jc w:val="both"/>
              <w:rPr>
                <w:color w:val="000000"/>
                <w:szCs w:val="24"/>
              </w:rPr>
            </w:pPr>
            <w:r>
              <w:rPr>
                <w:bCs/>
                <w:szCs w:val="24"/>
              </w:rPr>
              <w:t xml:space="preserve">CPO elektroniniame kataloge siūlomų prekių ar paslaugų krepšelio prognozuojamas užsakymo biudžeto aritmetinis vidurkis </w:t>
            </w:r>
            <w:r>
              <w:rPr>
                <w:bCs/>
                <w:i/>
                <w:szCs w:val="24"/>
              </w:rPr>
              <w:t>(taikoma, jei numatoma vykdyti pirkimą iš CPO katalogo ir jei CPO kataloge šiai prekės, paslaugos kategorijai pateikiamas prognozuojamas užsakymo biudžetas).</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rsidR="005D4BA7" w:rsidRDefault="005D4BA7" w:rsidP="00BE2584">
            <w:pPr>
              <w:spacing w:line="256" w:lineRule="auto"/>
              <w:jc w:val="both"/>
              <w:rPr>
                <w:i/>
                <w:iCs/>
                <w:color w:val="000000"/>
                <w:szCs w:val="24"/>
              </w:rPr>
            </w:pPr>
            <w:r>
              <w:rPr>
                <w:i/>
                <w:iCs/>
                <w:color w:val="000000"/>
                <w:szCs w:val="24"/>
              </w:rPr>
              <w:t>Jei taikoma, pateikiama CPO katalogo preliminaraus užsakymo kopija arba užsakymo lango, kuriame pateikiamas prekių krepšelio užsakymo aritmetinis vidurkis, momentinė ekrano kopija (angl. k. Print Screen)</w:t>
            </w:r>
          </w:p>
        </w:tc>
      </w:tr>
      <w:tr w:rsidR="005D4BA7" w:rsidTr="00BE2584">
        <w:trPr>
          <w:trHeight w:val="1245"/>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lastRenderedPageBreak/>
              <w:t xml:space="preserve">5. </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jc w:val="both"/>
              <w:rPr>
                <w:color w:val="000000"/>
                <w:szCs w:val="24"/>
              </w:rPr>
            </w:pPr>
            <w:r>
              <w:rPr>
                <w:color w:val="000000"/>
                <w:szCs w:val="24"/>
              </w:rPr>
              <w:t xml:space="preserve">PO iš viešai prieinamų </w:t>
            </w:r>
            <w:r>
              <w:rPr>
                <w:szCs w:val="24"/>
              </w:rPr>
              <w:t xml:space="preserve">informacijos šaltinių </w:t>
            </w:r>
            <w:r>
              <w:rPr>
                <w:color w:val="000000"/>
                <w:szCs w:val="24"/>
              </w:rPr>
              <w:t>(pvz., internetinių tinklapių) gauta informacija apie tiekėjus ir jų siūlomą pirkimo objekto kainą</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rsidR="005D4BA7" w:rsidRDefault="005D4BA7" w:rsidP="00BE2584">
            <w:pPr>
              <w:spacing w:line="256" w:lineRule="auto"/>
              <w:jc w:val="both"/>
              <w:rPr>
                <w:i/>
                <w:iCs/>
                <w:color w:val="000000"/>
                <w:szCs w:val="24"/>
              </w:rPr>
            </w:pPr>
            <w:r>
              <w:rPr>
                <w:i/>
                <w:iCs/>
                <w:color w:val="000000"/>
                <w:szCs w:val="24"/>
              </w:rPr>
              <w:t xml:space="preserve">Jei taikoma, nurodomi tiekėjų pavadinimai, jų siūloma pirkimo objekto kaina, informacijos šaltinis, pvz., pateikiant nuorodą į konkretų interneto tinklapį ir/arba kartu atspausdintą informaciją, pridedant prie šio priedo. </w:t>
            </w:r>
          </w:p>
        </w:tc>
      </w:tr>
      <w:tr w:rsidR="005D4BA7" w:rsidTr="00BE2584">
        <w:trPr>
          <w:trHeight w:val="977"/>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t>6.</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rPr>
                <w:color w:val="000000"/>
                <w:szCs w:val="24"/>
              </w:rPr>
            </w:pPr>
            <w:r>
              <w:rPr>
                <w:color w:val="000000"/>
                <w:szCs w:val="24"/>
              </w:rPr>
              <w:t xml:space="preserve">Rinkos dalyvių konsultacijos (Viešųjų pirkimų įstatymo 27 straipsnis) metu gauta informacija </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rsidR="005D4BA7" w:rsidRDefault="005D4BA7" w:rsidP="00BE2584">
            <w:pPr>
              <w:spacing w:line="256" w:lineRule="auto"/>
              <w:jc w:val="both"/>
              <w:rPr>
                <w:i/>
                <w:iCs/>
                <w:color w:val="000000"/>
                <w:szCs w:val="24"/>
              </w:rPr>
            </w:pPr>
            <w:r>
              <w:rPr>
                <w:i/>
                <w:iCs/>
                <w:color w:val="000000"/>
                <w:szCs w:val="24"/>
              </w:rPr>
              <w:t xml:space="preserve">Jei taikoma, nurodomi tiekėjai, dalyvavę konsultacijoje, jų nurodyta pirkimo objekto kaina, </w:t>
            </w:r>
            <w:r>
              <w:rPr>
                <w:i/>
                <w:iCs/>
                <w:szCs w:val="24"/>
              </w:rPr>
              <w:t>kita informacija, kurios buvo prašoma (jei prašoma)</w:t>
            </w:r>
            <w:r>
              <w:rPr>
                <w:i/>
                <w:iCs/>
                <w:color w:val="000000"/>
                <w:szCs w:val="24"/>
              </w:rPr>
              <w:t xml:space="preserve">. Konsultaciją PO gali daryti visais atvejais. </w:t>
            </w:r>
          </w:p>
        </w:tc>
      </w:tr>
      <w:tr w:rsidR="005D4BA7" w:rsidTr="00BE2584">
        <w:trPr>
          <w:trHeight w:val="1245"/>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t>7.</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jc w:val="both"/>
              <w:rPr>
                <w:color w:val="000000"/>
                <w:szCs w:val="24"/>
              </w:rPr>
            </w:pPr>
            <w:r>
              <w:rPr>
                <w:color w:val="000000"/>
                <w:szCs w:val="24"/>
              </w:rPr>
              <w:t xml:space="preserve">Kitu būdu PO gauta informacija apie tiekėjus ir jų siūlomą pirkimo objekto kainą </w:t>
            </w:r>
          </w:p>
        </w:tc>
        <w:tc>
          <w:tcPr>
            <w:tcW w:w="8177" w:type="dxa"/>
            <w:tcBorders>
              <w:top w:val="single" w:sz="8" w:space="0" w:color="auto"/>
              <w:left w:val="nil"/>
              <w:bottom w:val="single" w:sz="8" w:space="0" w:color="auto"/>
              <w:right w:val="single" w:sz="8" w:space="0" w:color="auto"/>
            </w:tcBorders>
            <w:shd w:val="clear" w:color="auto" w:fill="E7E6E6"/>
            <w:vAlign w:val="center"/>
          </w:tcPr>
          <w:p w:rsidR="005D4BA7" w:rsidRDefault="005D4BA7" w:rsidP="00BE2584">
            <w:pPr>
              <w:spacing w:line="256" w:lineRule="auto"/>
              <w:jc w:val="both"/>
              <w:rPr>
                <w:i/>
                <w:iCs/>
                <w:szCs w:val="24"/>
              </w:rPr>
            </w:pPr>
            <w:r>
              <w:rPr>
                <w:i/>
                <w:iCs/>
                <w:color w:val="000000"/>
                <w:szCs w:val="24"/>
              </w:rPr>
              <w:t xml:space="preserve">Pvz., apklausiant tiekėjus el. paštu, telefonu, gavus informaciją iš užsienio šalies (-ių) ambasados (-ų) Lietuvoje ar </w:t>
            </w:r>
            <w:r>
              <w:rPr>
                <w:i/>
                <w:iCs/>
                <w:szCs w:val="24"/>
              </w:rPr>
              <w:t xml:space="preserve">prekybos rūmų, informaciją apie atitinkamą pirkimo objektą ir jo kainą gaunant specializuotose parodose, </w:t>
            </w:r>
            <w:r>
              <w:rPr>
                <w:i/>
                <w:szCs w:val="24"/>
              </w:rPr>
              <w:t>kreipiantis į nepriklausomus ekspertus,</w:t>
            </w:r>
            <w:r>
              <w:rPr>
                <w:i/>
                <w:iCs/>
                <w:szCs w:val="24"/>
              </w:rPr>
              <w:t xml:space="preserve"> nurodomi tiekėjų pavadinimai, kontaktinis telefonas ar el. pašto adresas, tiekėjų nurodyta pirkimo objekto kaina bei kokiu būdu ši informacija gauta.</w:t>
            </w:r>
          </w:p>
          <w:p w:rsidR="005D4BA7" w:rsidRDefault="005D4BA7" w:rsidP="00BE2584">
            <w:pPr>
              <w:spacing w:line="256" w:lineRule="auto"/>
              <w:jc w:val="both"/>
              <w:rPr>
                <w:i/>
                <w:iCs/>
                <w:szCs w:val="24"/>
              </w:rPr>
            </w:pPr>
            <w:r>
              <w:rPr>
                <w:i/>
                <w:iCs/>
                <w:szCs w:val="24"/>
              </w:rPr>
              <w:t>Jei atsakymus pateikė ne visi apklausti tiekėjai, PO tai nurodo šioje skiltyje.</w:t>
            </w:r>
          </w:p>
          <w:p w:rsidR="005D4BA7" w:rsidRDefault="005D4BA7" w:rsidP="00BE2584">
            <w:pPr>
              <w:spacing w:line="256" w:lineRule="auto"/>
              <w:jc w:val="both"/>
              <w:rPr>
                <w:i/>
                <w:iCs/>
                <w:color w:val="000000"/>
                <w:szCs w:val="24"/>
              </w:rPr>
            </w:pPr>
          </w:p>
          <w:p w:rsidR="005D4BA7" w:rsidRDefault="005D4BA7" w:rsidP="00BE2584">
            <w:pPr>
              <w:spacing w:line="256" w:lineRule="auto"/>
              <w:jc w:val="both"/>
              <w:rPr>
                <w:i/>
                <w:iCs/>
                <w:szCs w:val="24"/>
              </w:rPr>
            </w:pPr>
            <w:r>
              <w:rPr>
                <w:i/>
                <w:iCs/>
                <w:szCs w:val="24"/>
              </w:rPr>
              <w:t>PO apklausdama tiekėjus, jiems turi pateikti vienodą informaciją.</w:t>
            </w:r>
          </w:p>
        </w:tc>
      </w:tr>
      <w:tr w:rsidR="005D4BA7" w:rsidTr="00BE2584">
        <w:trPr>
          <w:trHeight w:val="554"/>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t xml:space="preserve">8. </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jc w:val="both"/>
              <w:rPr>
                <w:color w:val="000000"/>
                <w:szCs w:val="24"/>
              </w:rPr>
            </w:pPr>
            <w:r>
              <w:rPr>
                <w:color w:val="000000"/>
                <w:szCs w:val="24"/>
              </w:rPr>
              <w:t>Prekių modeliai, kurie atitinka techninės specifikacijos reikalavimus</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rsidR="005D4BA7" w:rsidRDefault="005D4BA7" w:rsidP="00BE2584">
            <w:pPr>
              <w:spacing w:line="256" w:lineRule="auto"/>
              <w:jc w:val="both"/>
              <w:rPr>
                <w:i/>
                <w:iCs/>
                <w:color w:val="000000"/>
                <w:szCs w:val="24"/>
              </w:rPr>
            </w:pPr>
            <w:r>
              <w:rPr>
                <w:i/>
                <w:iCs/>
                <w:color w:val="000000"/>
                <w:szCs w:val="24"/>
              </w:rPr>
              <w:t>Nurodoma, jei tyrimas atliekamas dėl prekių.</w:t>
            </w:r>
          </w:p>
          <w:p w:rsidR="005D4BA7" w:rsidRDefault="005D4BA7" w:rsidP="00BE2584">
            <w:pPr>
              <w:spacing w:line="256" w:lineRule="auto"/>
              <w:jc w:val="both"/>
              <w:rPr>
                <w:i/>
                <w:iCs/>
                <w:color w:val="000000"/>
                <w:szCs w:val="24"/>
              </w:rPr>
            </w:pPr>
            <w:r>
              <w:rPr>
                <w:i/>
                <w:iCs/>
                <w:color w:val="000000"/>
                <w:szCs w:val="24"/>
              </w:rPr>
              <w:t>Rinkos tyrimas negali būti atliekamas dėl vieno konkretaus modelio.</w:t>
            </w:r>
          </w:p>
        </w:tc>
      </w:tr>
      <w:tr w:rsidR="005D4BA7" w:rsidTr="00BE2584">
        <w:trPr>
          <w:trHeight w:val="1245"/>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t>9.</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jc w:val="both"/>
              <w:rPr>
                <w:color w:val="000000"/>
                <w:szCs w:val="24"/>
              </w:rPr>
            </w:pPr>
            <w:r>
              <w:rPr>
                <w:color w:val="000000"/>
                <w:szCs w:val="24"/>
              </w:rPr>
              <w:t xml:space="preserve">Kiti objektyvūs ir pagrįsti veiksniai bei paskaičiavimai (jei taikoma), galintys turėti įtakos pirkimo objekto kainos pokyčiams </w:t>
            </w:r>
            <w:r>
              <w:rPr>
                <w:i/>
                <w:color w:val="000000"/>
                <w:szCs w:val="24"/>
              </w:rPr>
              <w:t xml:space="preserve">(šią skiltį pildyti tik tokiu atveju, jei PO turi objektyvią, pagrįstą, tikslią informaciją apie veiksnius, įtakosiančius pirkimui reikalingą lėšų sumą). </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rsidR="005D4BA7" w:rsidRDefault="005D4BA7" w:rsidP="00BE2584">
            <w:pPr>
              <w:spacing w:line="256" w:lineRule="auto"/>
              <w:jc w:val="both"/>
              <w:rPr>
                <w:i/>
                <w:iCs/>
                <w:color w:val="000000"/>
                <w:szCs w:val="24"/>
              </w:rPr>
            </w:pPr>
            <w:r>
              <w:rPr>
                <w:i/>
                <w:iCs/>
                <w:color w:val="000000"/>
                <w:szCs w:val="24"/>
              </w:rPr>
              <w:t xml:space="preserve">Įvertinama: </w:t>
            </w:r>
          </w:p>
          <w:p w:rsidR="005D4BA7" w:rsidRDefault="005D4BA7" w:rsidP="00BE2584">
            <w:pPr>
              <w:spacing w:line="256" w:lineRule="auto"/>
              <w:jc w:val="both"/>
              <w:rPr>
                <w:i/>
                <w:iCs/>
                <w:color w:val="000000"/>
                <w:szCs w:val="24"/>
              </w:rPr>
            </w:pPr>
            <w:r>
              <w:rPr>
                <w:i/>
                <w:iCs/>
                <w:color w:val="000000"/>
                <w:szCs w:val="24"/>
              </w:rPr>
              <w:t xml:space="preserve">1) ar rinkoje yra prognozuojami pirkimo objekto kainos pokyčiai (rinkos tendencijos); </w:t>
            </w:r>
          </w:p>
          <w:p w:rsidR="005D4BA7" w:rsidRDefault="005D4BA7" w:rsidP="00BE2584">
            <w:pPr>
              <w:spacing w:line="256" w:lineRule="auto"/>
              <w:jc w:val="both"/>
              <w:rPr>
                <w:i/>
                <w:iCs/>
                <w:color w:val="000000"/>
                <w:szCs w:val="24"/>
              </w:rPr>
            </w:pPr>
            <w:r>
              <w:rPr>
                <w:i/>
                <w:iCs/>
                <w:color w:val="000000"/>
                <w:szCs w:val="24"/>
              </w:rPr>
              <w:t xml:space="preserve">2) jei jau yra priimti, tik dar neįsigalioję pakeitimai teisės aktų, reglamentuojančių mokesčių sistemos reguliavimą (pvz., PVM ar kitų mokesčių, turinčių įtaką galutinei produkto/paslaugos/darbų </w:t>
            </w:r>
            <w:r>
              <w:rPr>
                <w:i/>
                <w:iCs/>
                <w:szCs w:val="24"/>
              </w:rPr>
              <w:t>kainai)</w:t>
            </w:r>
            <w:r>
              <w:rPr>
                <w:i/>
                <w:iCs/>
                <w:color w:val="000000"/>
                <w:szCs w:val="24"/>
              </w:rPr>
              <w:t xml:space="preserve">; </w:t>
            </w:r>
          </w:p>
          <w:p w:rsidR="005D4BA7" w:rsidRDefault="005D4BA7" w:rsidP="00BE2584">
            <w:pPr>
              <w:spacing w:line="256" w:lineRule="auto"/>
              <w:jc w:val="both"/>
              <w:rPr>
                <w:i/>
                <w:iCs/>
                <w:color w:val="000000"/>
                <w:szCs w:val="24"/>
              </w:rPr>
            </w:pPr>
            <w:r>
              <w:rPr>
                <w:i/>
                <w:iCs/>
                <w:color w:val="000000"/>
                <w:szCs w:val="24"/>
              </w:rPr>
              <w:t>3) prognozuojamas bendrosios infliacijos didėjimas pagal Lietuvos banko (</w:t>
            </w:r>
            <w:r>
              <w:rPr>
                <w:i/>
                <w:iCs/>
                <w:color w:val="0563C1"/>
                <w:szCs w:val="24"/>
                <w:u w:val="single"/>
              </w:rPr>
              <w:t>https://www.lb.lt/lt/mv-ekonomikos-analize-ir-prognozes</w:t>
            </w:r>
            <w:r>
              <w:rPr>
                <w:i/>
                <w:iCs/>
                <w:color w:val="000000"/>
                <w:szCs w:val="24"/>
              </w:rPr>
              <w:t xml:space="preserve">) </w:t>
            </w:r>
            <w:r>
              <w:rPr>
                <w:i/>
                <w:iCs/>
                <w:szCs w:val="24"/>
              </w:rPr>
              <w:t>ar Lietuvos Respublikos finansų ministerijos (</w:t>
            </w:r>
            <w:r>
              <w:rPr>
                <w:i/>
                <w:iCs/>
                <w:color w:val="0563C1"/>
                <w:szCs w:val="24"/>
                <w:u w:val="single"/>
              </w:rPr>
              <w:t>http://finmin.lrv.lt/lt/aktualus-valstybes-finansu-duomenys/ekonomines-raidos-scenarijus</w:t>
            </w:r>
            <w:r>
              <w:rPr>
                <w:i/>
                <w:iCs/>
                <w:szCs w:val="24"/>
              </w:rPr>
              <w:t xml:space="preserve"> ) skelbiamą informaciją</w:t>
            </w:r>
            <w:r>
              <w:rPr>
                <w:i/>
                <w:iCs/>
                <w:color w:val="000000"/>
                <w:szCs w:val="24"/>
              </w:rPr>
              <w:t xml:space="preserve">; </w:t>
            </w:r>
          </w:p>
          <w:p w:rsidR="005D4BA7" w:rsidRDefault="005D4BA7" w:rsidP="00BE2584">
            <w:pPr>
              <w:spacing w:line="256" w:lineRule="auto"/>
              <w:jc w:val="both"/>
              <w:rPr>
                <w:i/>
                <w:iCs/>
                <w:color w:val="000000"/>
                <w:szCs w:val="24"/>
              </w:rPr>
            </w:pPr>
            <w:r>
              <w:rPr>
                <w:i/>
                <w:iCs/>
                <w:color w:val="000000"/>
                <w:szCs w:val="24"/>
              </w:rPr>
              <w:t xml:space="preserve">4) </w:t>
            </w:r>
            <w:r>
              <w:rPr>
                <w:i/>
                <w:iCs/>
                <w:szCs w:val="24"/>
              </w:rPr>
              <w:t>faktinis infliacijos dydis pagal Lietuvos statistikos departamento duomenis;</w:t>
            </w:r>
          </w:p>
          <w:p w:rsidR="005D4BA7" w:rsidRDefault="005D4BA7" w:rsidP="00BE2584">
            <w:pPr>
              <w:spacing w:line="256" w:lineRule="auto"/>
              <w:jc w:val="both"/>
              <w:rPr>
                <w:i/>
                <w:iCs/>
                <w:color w:val="000000"/>
                <w:szCs w:val="24"/>
              </w:rPr>
            </w:pPr>
            <w:r>
              <w:rPr>
                <w:i/>
                <w:iCs/>
                <w:color w:val="000000"/>
                <w:szCs w:val="24"/>
              </w:rPr>
              <w:lastRenderedPageBreak/>
              <w:t>5) galimas minimalaus ar vidutinio darbo užmokesčio didėjimas (</w:t>
            </w:r>
            <w:r>
              <w:rPr>
                <w:i/>
                <w:iCs/>
                <w:color w:val="0563C1"/>
                <w:szCs w:val="24"/>
                <w:u w:val="single"/>
              </w:rPr>
              <w:t>https://osp.stat.gov.lt/</w:t>
            </w:r>
            <w:r>
              <w:rPr>
                <w:i/>
                <w:iCs/>
                <w:color w:val="000000"/>
                <w:szCs w:val="24"/>
              </w:rPr>
              <w:t xml:space="preserve">); </w:t>
            </w:r>
          </w:p>
          <w:p w:rsidR="005D4BA7" w:rsidRDefault="005D4BA7" w:rsidP="00BE2584">
            <w:pPr>
              <w:spacing w:line="256" w:lineRule="auto"/>
              <w:jc w:val="both"/>
              <w:rPr>
                <w:i/>
                <w:iCs/>
                <w:color w:val="000000"/>
                <w:szCs w:val="24"/>
              </w:rPr>
            </w:pPr>
            <w:r>
              <w:rPr>
                <w:i/>
                <w:iCs/>
                <w:color w:val="000000"/>
                <w:szCs w:val="24"/>
              </w:rPr>
              <w:t>6) vartotojų kainų pokyčiai (didėjimas), apskaičiuoti pagal vartotojų kainų indeksą (</w:t>
            </w:r>
            <w:r>
              <w:rPr>
                <w:i/>
                <w:iCs/>
                <w:color w:val="0563C1"/>
                <w:szCs w:val="24"/>
                <w:u w:val="single"/>
              </w:rPr>
              <w:t>https://osp.stat.gov.lt/</w:t>
            </w:r>
            <w:r>
              <w:rPr>
                <w:i/>
                <w:iCs/>
                <w:color w:val="000000"/>
                <w:szCs w:val="24"/>
              </w:rPr>
              <w:t xml:space="preserve">); </w:t>
            </w:r>
          </w:p>
          <w:p w:rsidR="005D4BA7" w:rsidRDefault="005D4BA7" w:rsidP="00BE2584">
            <w:pPr>
              <w:spacing w:line="256" w:lineRule="auto"/>
              <w:jc w:val="both"/>
              <w:rPr>
                <w:i/>
                <w:iCs/>
                <w:color w:val="000000"/>
                <w:szCs w:val="24"/>
              </w:rPr>
            </w:pPr>
            <w:r>
              <w:rPr>
                <w:i/>
                <w:iCs/>
                <w:color w:val="000000"/>
                <w:szCs w:val="24"/>
              </w:rPr>
              <w:t>7) jei numatomi pirkimai užsienyje ar iš užsienio tiekėjo (-ų), gali būti įvertinami prognozuojami valiutų kursų svyravimai (pvz., pateikiamas vidutinis valiutos kursas per pastarąjį pusmetį ir/ar kiti duomenys/informacija, įrodantys galimus valiutos kurso svyravimus, galinčius įtakoti pirkimo objekto kainą);</w:t>
            </w:r>
          </w:p>
          <w:p w:rsidR="005D4BA7" w:rsidRDefault="005D4BA7" w:rsidP="00BE2584">
            <w:pPr>
              <w:spacing w:line="256" w:lineRule="auto"/>
              <w:jc w:val="both"/>
              <w:rPr>
                <w:i/>
                <w:iCs/>
                <w:color w:val="000000"/>
                <w:szCs w:val="24"/>
              </w:rPr>
            </w:pPr>
            <w:r>
              <w:rPr>
                <w:i/>
                <w:iCs/>
                <w:color w:val="000000"/>
                <w:szCs w:val="24"/>
              </w:rPr>
              <w:t xml:space="preserve">8) perkančiosios organizacijos atlikta išsami savo turimų sutarčių dėl to paties objekto analizė ir paskaičiavimai, kokiu procentiniu dydžiu padidėjo pirkimo objekto kaina; </w:t>
            </w:r>
          </w:p>
          <w:p w:rsidR="005D4BA7" w:rsidRDefault="005D4BA7" w:rsidP="00BE2584">
            <w:pPr>
              <w:spacing w:line="256" w:lineRule="auto"/>
              <w:jc w:val="both"/>
              <w:rPr>
                <w:i/>
                <w:iCs/>
                <w:color w:val="000000"/>
                <w:szCs w:val="24"/>
              </w:rPr>
            </w:pPr>
            <w:r>
              <w:rPr>
                <w:i/>
                <w:iCs/>
                <w:color w:val="000000"/>
                <w:szCs w:val="24"/>
              </w:rPr>
              <w:t>9) kiti objektyvūs,</w:t>
            </w:r>
            <w:r>
              <w:rPr>
                <w:i/>
                <w:iCs/>
                <w:szCs w:val="24"/>
              </w:rPr>
              <w:t xml:space="preserve"> tikslia ir visuotinai pripažįstama informacija (pvz., Lietuvos statistikos departamento skelbiamais duomenimis) pagrįsti</w:t>
            </w:r>
            <w:r>
              <w:rPr>
                <w:i/>
                <w:iCs/>
                <w:color w:val="000000"/>
                <w:szCs w:val="24"/>
              </w:rPr>
              <w:t xml:space="preserve"> veiksniai, galintys turėti tiesioginę įtaką pirkimo objekto kainai. </w:t>
            </w:r>
          </w:p>
          <w:p w:rsidR="005D4BA7" w:rsidRDefault="005D4BA7" w:rsidP="00BE2584">
            <w:pPr>
              <w:spacing w:line="256" w:lineRule="auto"/>
              <w:jc w:val="both"/>
              <w:rPr>
                <w:i/>
                <w:iCs/>
                <w:color w:val="000000"/>
                <w:szCs w:val="24"/>
              </w:rPr>
            </w:pPr>
            <w:r>
              <w:rPr>
                <w:i/>
                <w:iCs/>
                <w:color w:val="000000"/>
                <w:szCs w:val="24"/>
              </w:rPr>
              <w:t xml:space="preserve">Jei pirkimo kainos didėjimą įtakoja keletas veiksnių (pvz., vartotojų kainos pokytis ir darbo užmokesčio didėjimas), nustatant procentinį dydį, kuris yra pridedamas prie viršutinio kvartilio, gali būti pasirenkamas tik vieno veiksnio didžiausias procentinis dydis. Kelių veiksnių procentinis dydis gali būti pasirenkamas tik tokiu atveju,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r>
              <w:rPr>
                <w:b/>
                <w:i/>
                <w:iCs/>
                <w:color w:val="000000"/>
                <w:szCs w:val="24"/>
              </w:rPr>
              <w:t>Apskaičiuotas  ar kitaip objektyviai  nustatytas procentinis dydis gali būti pridedamas prie paskaičiuoto viršutinio kvartilio, kuris naudojamas pirkimui reikalinga lėšų sumos nustatymui (detaliau žr. III dalies „Išvados“ 1 ir 2 punktus).</w:t>
            </w:r>
          </w:p>
        </w:tc>
      </w:tr>
      <w:tr w:rsidR="005D4BA7" w:rsidTr="00BE2584">
        <w:trPr>
          <w:trHeight w:val="67"/>
        </w:trPr>
        <w:tc>
          <w:tcPr>
            <w:tcW w:w="1417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rsidR="005D4BA7" w:rsidRDefault="005D4BA7" w:rsidP="00BE2584">
            <w:pPr>
              <w:spacing w:line="256" w:lineRule="auto"/>
              <w:rPr>
                <w:sz w:val="10"/>
                <w:szCs w:val="10"/>
              </w:rPr>
            </w:pPr>
          </w:p>
          <w:p w:rsidR="005D4BA7" w:rsidRDefault="005D4BA7" w:rsidP="00BE2584">
            <w:pPr>
              <w:spacing w:line="256" w:lineRule="auto"/>
              <w:jc w:val="center"/>
              <w:rPr>
                <w:b/>
                <w:bCs/>
                <w:color w:val="000000"/>
                <w:sz w:val="32"/>
              </w:rPr>
            </w:pPr>
            <w:r>
              <w:rPr>
                <w:b/>
                <w:bCs/>
                <w:color w:val="000000"/>
                <w:sz w:val="28"/>
              </w:rPr>
              <w:t xml:space="preserve">III. Išvados </w:t>
            </w:r>
          </w:p>
        </w:tc>
      </w:tr>
      <w:tr w:rsidR="005D4BA7" w:rsidTr="00BE2584">
        <w:trPr>
          <w:trHeight w:val="300"/>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lastRenderedPageBreak/>
              <w:t>1.</w:t>
            </w:r>
          </w:p>
        </w:tc>
        <w:tc>
          <w:tcPr>
            <w:tcW w:w="4975" w:type="dxa"/>
            <w:tcBorders>
              <w:top w:val="single" w:sz="8" w:space="0" w:color="auto"/>
              <w:left w:val="single" w:sz="8" w:space="0" w:color="auto"/>
              <w:bottom w:val="single" w:sz="8" w:space="0" w:color="auto"/>
              <w:right w:val="single" w:sz="8" w:space="0" w:color="auto"/>
            </w:tcBorders>
            <w:vAlign w:val="center"/>
          </w:tcPr>
          <w:p w:rsidR="005D4BA7" w:rsidRDefault="005D4BA7" w:rsidP="00BE2584">
            <w:pPr>
              <w:spacing w:line="256" w:lineRule="auto"/>
              <w:rPr>
                <w:color w:val="000000"/>
                <w:szCs w:val="24"/>
              </w:rPr>
            </w:pPr>
            <w:r>
              <w:rPr>
                <w:color w:val="000000"/>
                <w:szCs w:val="24"/>
              </w:rPr>
              <w:t>Tiekėjų pasiūlytos kainos ir kainų viršutinis kvartilis</w:t>
            </w:r>
            <w:r>
              <w:rPr>
                <w:color w:val="000000"/>
                <w:szCs w:val="24"/>
                <w:vertAlign w:val="superscript"/>
              </w:rPr>
              <w:footnoteReference w:id="1"/>
            </w:r>
            <w:r>
              <w:rPr>
                <w:color w:val="000000"/>
                <w:szCs w:val="24"/>
              </w:rPr>
              <w:t>*.</w:t>
            </w:r>
          </w:p>
          <w:p w:rsidR="005D4BA7" w:rsidRDefault="005D4BA7" w:rsidP="00BE2584">
            <w:pPr>
              <w:spacing w:line="256" w:lineRule="auto"/>
              <w:jc w:val="both"/>
              <w:rPr>
                <w:b/>
                <w:color w:val="000000"/>
                <w:szCs w:val="24"/>
              </w:rPr>
            </w:pPr>
            <w:r>
              <w:rPr>
                <w:b/>
                <w:color w:val="000000"/>
                <w:szCs w:val="24"/>
              </w:rPr>
              <w:t>Jis bus apskaičiuotas automatiškai, PO suvedus informaciją į dešinėje pusėje esančias skiltis „Tiekėjo pavadinimas“ ir  „Pasiūlymo kaina“.</w:t>
            </w:r>
          </w:p>
          <w:p w:rsidR="005D4BA7" w:rsidRDefault="005D4BA7" w:rsidP="00BE2584">
            <w:pPr>
              <w:spacing w:line="256" w:lineRule="auto"/>
              <w:jc w:val="both"/>
              <w:rPr>
                <w:b/>
                <w:color w:val="000000"/>
                <w:szCs w:val="24"/>
              </w:rPr>
            </w:pPr>
          </w:p>
          <w:p w:rsidR="005D4BA7" w:rsidRDefault="005D4BA7" w:rsidP="00BE2584">
            <w:pPr>
              <w:spacing w:line="256" w:lineRule="auto"/>
              <w:jc w:val="both"/>
              <w:rPr>
                <w:color w:val="000000"/>
                <w:szCs w:val="24"/>
              </w:rPr>
            </w:pPr>
            <w:r>
              <w:rPr>
                <w:i/>
                <w:color w:val="000000"/>
                <w:szCs w:val="24"/>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tiekėją papildomai apklausti dėl siūlomos pirkimo objekto kainos.  </w:t>
            </w:r>
          </w:p>
        </w:tc>
        <w:bookmarkStart w:id="0" w:name="_MON_1667907999"/>
        <w:bookmarkEnd w:id="0"/>
        <w:tc>
          <w:tcPr>
            <w:tcW w:w="8177" w:type="dxa"/>
            <w:tcBorders>
              <w:top w:val="single" w:sz="8" w:space="0" w:color="auto"/>
              <w:left w:val="nil"/>
              <w:bottom w:val="single" w:sz="8" w:space="0" w:color="auto"/>
              <w:right w:val="single" w:sz="8" w:space="0" w:color="auto"/>
            </w:tcBorders>
            <w:shd w:val="clear" w:color="auto" w:fill="E7E6E6"/>
            <w:vAlign w:val="center"/>
          </w:tcPr>
          <w:p w:rsidR="005D4BA7" w:rsidRDefault="00FF1A2E" w:rsidP="00BE2584">
            <w:pPr>
              <w:spacing w:line="256" w:lineRule="auto"/>
              <w:jc w:val="center"/>
              <w:rPr>
                <w:i/>
                <w:iCs/>
                <w:color w:val="000000"/>
                <w:szCs w:val="24"/>
              </w:rPr>
            </w:pPr>
            <w:r w:rsidRPr="0027089E">
              <w:rPr>
                <w:i/>
                <w:iCs/>
                <w:color w:val="000000"/>
                <w:szCs w:val="24"/>
              </w:rPr>
              <w:object w:dxaOrig="6096" w:dyaOrig="3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5.4pt;height:196.2pt" o:ole="">
                  <v:imagedata r:id="rId6" o:title=""/>
                </v:shape>
                <o:OLEObject Type="Embed" ProgID="Excel.Sheet.12" ShapeID="_x0000_i1028" DrawAspect="Content" ObjectID="_1667908017" r:id="rId7"/>
              </w:object>
            </w:r>
          </w:p>
          <w:p w:rsidR="005D4BA7" w:rsidRDefault="005D4BA7" w:rsidP="00BE2584">
            <w:pPr>
              <w:spacing w:line="256" w:lineRule="auto"/>
              <w:jc w:val="center"/>
              <w:rPr>
                <w:i/>
                <w:iCs/>
                <w:color w:val="000000"/>
                <w:szCs w:val="24"/>
              </w:rPr>
            </w:pPr>
          </w:p>
          <w:p w:rsidR="005D4BA7" w:rsidRDefault="005D4BA7" w:rsidP="00BE2584">
            <w:pPr>
              <w:spacing w:line="256" w:lineRule="auto"/>
              <w:jc w:val="both"/>
              <w:rPr>
                <w:i/>
                <w:iCs/>
                <w:color w:val="000000"/>
                <w:szCs w:val="24"/>
              </w:rPr>
            </w:pPr>
            <w:r>
              <w:rPr>
                <w:i/>
                <w:iCs/>
                <w:color w:val="000000"/>
                <w:szCs w:val="24"/>
              </w:rPr>
              <w:t>Pažymėtina, kad šioje lentelėje pateikiamos tikslios tiekėjų pasiūlytos kainos, kurios nurodomos suapvalintos, paliekant du skaičius po kablelio. Į pasiūlymo kainą turi būti įskaičiuoti visi galimi mokesčiai bei išlaidos. Tuo atveju, jei lentelėje nurodoma užsienio tiekėjo siūloma kaina, į šią kainą turi būti įskaičiuojama pagal galiojančius teisės aktus taikytinas PVM tarifas.</w:t>
            </w:r>
          </w:p>
        </w:tc>
      </w:tr>
      <w:tr w:rsidR="005D4BA7" w:rsidTr="00BE2584">
        <w:trPr>
          <w:trHeight w:val="300"/>
        </w:trPr>
        <w:tc>
          <w:tcPr>
            <w:tcW w:w="1023" w:type="dxa"/>
            <w:tcBorders>
              <w:top w:val="single" w:sz="8" w:space="0" w:color="auto"/>
              <w:left w:val="single" w:sz="8" w:space="0" w:color="auto"/>
              <w:bottom w:val="single" w:sz="8" w:space="0" w:color="auto"/>
              <w:right w:val="nil"/>
            </w:tcBorders>
            <w:noWrap/>
            <w:vAlign w:val="center"/>
            <w:hideMark/>
          </w:tcPr>
          <w:p w:rsidR="005D4BA7" w:rsidRDefault="005D4BA7" w:rsidP="00BE2584">
            <w:pPr>
              <w:spacing w:line="256" w:lineRule="auto"/>
              <w:jc w:val="center"/>
              <w:rPr>
                <w:color w:val="000000"/>
                <w:szCs w:val="24"/>
              </w:rPr>
            </w:pPr>
            <w:r>
              <w:rPr>
                <w:color w:val="000000"/>
                <w:szCs w:val="24"/>
              </w:rPr>
              <w:t>2.</w:t>
            </w:r>
          </w:p>
        </w:tc>
        <w:tc>
          <w:tcPr>
            <w:tcW w:w="4975" w:type="dxa"/>
            <w:tcBorders>
              <w:top w:val="single" w:sz="8" w:space="0" w:color="auto"/>
              <w:left w:val="single" w:sz="8" w:space="0" w:color="auto"/>
              <w:bottom w:val="single" w:sz="8" w:space="0" w:color="auto"/>
              <w:right w:val="single" w:sz="8" w:space="0" w:color="auto"/>
            </w:tcBorders>
            <w:vAlign w:val="center"/>
            <w:hideMark/>
          </w:tcPr>
          <w:p w:rsidR="005D4BA7" w:rsidRDefault="005D4BA7" w:rsidP="00BE2584">
            <w:pPr>
              <w:spacing w:line="256" w:lineRule="auto"/>
              <w:rPr>
                <w:b/>
                <w:color w:val="000000"/>
                <w:szCs w:val="24"/>
              </w:rPr>
            </w:pPr>
            <w:r>
              <w:rPr>
                <w:b/>
                <w:color w:val="000000"/>
                <w:szCs w:val="24"/>
              </w:rPr>
              <w:t>Veiklos projekto pirkimui reikalinga lėšų suma*</w:t>
            </w:r>
          </w:p>
        </w:tc>
        <w:tc>
          <w:tcPr>
            <w:tcW w:w="8177" w:type="dxa"/>
            <w:tcBorders>
              <w:top w:val="single" w:sz="8" w:space="0" w:color="auto"/>
              <w:left w:val="nil"/>
              <w:bottom w:val="single" w:sz="8" w:space="0" w:color="auto"/>
              <w:right w:val="single" w:sz="8" w:space="0" w:color="auto"/>
            </w:tcBorders>
            <w:shd w:val="clear" w:color="auto" w:fill="E7E6E6"/>
            <w:vAlign w:val="bottom"/>
            <w:hideMark/>
          </w:tcPr>
          <w:p w:rsidR="005D4BA7" w:rsidRDefault="005D4BA7" w:rsidP="00BE2584">
            <w:pPr>
              <w:spacing w:line="256" w:lineRule="auto"/>
              <w:jc w:val="both"/>
              <w:rPr>
                <w:i/>
                <w:iCs/>
                <w:color w:val="000000"/>
                <w:szCs w:val="24"/>
              </w:rPr>
            </w:pPr>
            <w:r>
              <w:rPr>
                <w:i/>
                <w:iCs/>
                <w:color w:val="000000"/>
                <w:szCs w:val="24"/>
              </w:rPr>
              <w:t>Pirkimui reikalinga lėšų suma nustatoma kaip apžvelgtų kainų viršutinis kvartilis (automatiškai apskaičiuotas ir nurodytas III dalies „Išvados“ 1 punkto dešinėje pusėje),  bei pridedant šios lentelės II dalies „Rinkos apžvalga“ 9 punkte nurodytą procentą (jeigu taikom</w:t>
            </w:r>
            <w:bookmarkStart w:id="1" w:name="_GoBack"/>
            <w:bookmarkEnd w:id="1"/>
            <w:r>
              <w:rPr>
                <w:i/>
                <w:iCs/>
                <w:color w:val="000000"/>
                <w:szCs w:val="24"/>
              </w:rPr>
              <w:t xml:space="preserve">a) ir gautą sumą suapvalinus iki sveikųjų skaičių. </w:t>
            </w:r>
          </w:p>
        </w:tc>
      </w:tr>
    </w:tbl>
    <w:p w:rsidR="005D4BA7" w:rsidRDefault="005D4BA7" w:rsidP="005D4BA7">
      <w:r>
        <w:t>_______________________</w:t>
      </w:r>
    </w:p>
    <w:p w:rsidR="00993450" w:rsidRDefault="005D4BA7" w:rsidP="005D4BA7">
      <w:pPr>
        <w:tabs>
          <w:tab w:val="left" w:pos="1080"/>
          <w:tab w:val="left" w:pos="1440"/>
        </w:tabs>
      </w:pPr>
      <w:r>
        <w:rPr>
          <w:sz w:val="20"/>
        </w:rPr>
        <w:t>* - privalomi laukai</w:t>
      </w:r>
    </w:p>
    <w:sectPr w:rsidR="00993450" w:rsidSect="005D4BA7">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2DB" w:rsidRDefault="00A212DB" w:rsidP="005D4BA7">
      <w:r>
        <w:separator/>
      </w:r>
    </w:p>
  </w:endnote>
  <w:endnote w:type="continuationSeparator" w:id="0">
    <w:p w:rsidR="00A212DB" w:rsidRDefault="00A212DB" w:rsidP="005D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2DB" w:rsidRDefault="00A212DB" w:rsidP="005D4BA7">
      <w:r>
        <w:separator/>
      </w:r>
    </w:p>
  </w:footnote>
  <w:footnote w:type="continuationSeparator" w:id="0">
    <w:p w:rsidR="00A212DB" w:rsidRDefault="00A212DB" w:rsidP="005D4BA7">
      <w:r>
        <w:continuationSeparator/>
      </w:r>
    </w:p>
  </w:footnote>
  <w:footnote w:id="1">
    <w:p w:rsidR="005D4BA7" w:rsidRDefault="005D4BA7" w:rsidP="005D4BA7">
      <w:pPr>
        <w:rPr>
          <w:sz w:val="20"/>
        </w:rPr>
      </w:pPr>
      <w:r>
        <w:rPr>
          <w:sz w:val="20"/>
          <w:vertAlign w:val="superscript"/>
          <w:lang w:val="en-US"/>
        </w:rPr>
        <w:footnoteRef/>
      </w:r>
      <w:r>
        <w:rPr>
          <w:sz w:val="20"/>
        </w:rPr>
        <w:t xml:space="preserve"> Suma apskaičiuojama automatiškai, į lentelę suvedus informaciją apie tiekėjus ir jų siūloma kainą. </w:t>
      </w:r>
    </w:p>
    <w:p w:rsidR="005D4BA7" w:rsidRDefault="005D4BA7" w:rsidP="005D4BA7">
      <w:pPr>
        <w:rPr>
          <w:sz w:val="20"/>
        </w:rPr>
      </w:pPr>
      <w:r>
        <w:rPr>
          <w:sz w:val="20"/>
        </w:rPr>
        <w:t>Ši suma nustatoma viršutinio kvartilio principu, tai yra ji  yra mažesnė arba lygi 75% visų tiekėjų pateiktų pasiūlytų kainų reikšmėms, tačiau negali viršyti 25% didžiausių tiekėjų pateiktų pasiūlymų reikšmių.</w:t>
      </w:r>
    </w:p>
    <w:p w:rsidR="005D4BA7" w:rsidRDefault="005D4BA7" w:rsidP="005D4BA7">
      <w:pPr>
        <w:rPr>
          <w:sz w:val="20"/>
        </w:rPr>
      </w:pPr>
      <w:r>
        <w:rPr>
          <w:sz w:val="20"/>
        </w:rPr>
        <w:t xml:space="preserve">Viršutinis kvartilis taip pat gali būti apskaičiuojamas Excel programa naudojant QUARTILE funkciją. Pvz., =QUARTILE(A1:A10;3), kur A1-A10 tiekėjų pasiūlytos kainos. </w:t>
      </w:r>
    </w:p>
    <w:p w:rsidR="005D4BA7" w:rsidRDefault="005D4BA7" w:rsidP="005D4BA7">
      <w:pPr>
        <w:rPr>
          <w:sz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A7"/>
    <w:rsid w:val="00325A77"/>
    <w:rsid w:val="005D4BA7"/>
    <w:rsid w:val="00993450"/>
    <w:rsid w:val="00A212DB"/>
    <w:rsid w:val="00FF1A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55058-5B0E-45D5-BF29-42E6FFD1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7522</Words>
  <Characters>4289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Judinienė</dc:creator>
  <cp:keywords/>
  <dc:description/>
  <cp:lastModifiedBy>Ingrida Judinienė</cp:lastModifiedBy>
  <cp:revision>2</cp:revision>
  <dcterms:created xsi:type="dcterms:W3CDTF">2020-11-26T12:56:00Z</dcterms:created>
  <dcterms:modified xsi:type="dcterms:W3CDTF">2020-11-26T12:58:00Z</dcterms:modified>
</cp:coreProperties>
</file>