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6667" w:rsidRDefault="00516667">
      <w:pPr>
        <w:tabs>
          <w:tab w:val="center" w:pos="4153"/>
          <w:tab w:val="right" w:pos="8306"/>
        </w:tabs>
        <w:rPr>
          <w:lang w:eastAsia="lt-LT"/>
        </w:rPr>
      </w:pPr>
    </w:p>
    <w:p w:rsidR="00516667" w:rsidRDefault="00256143">
      <w:pPr>
        <w:jc w:val="center"/>
        <w:rPr>
          <w:lang w:eastAsia="lt-LT"/>
        </w:rPr>
      </w:pPr>
      <w:r>
        <w:rPr>
          <w:noProof/>
          <w:lang w:eastAsia="lt-LT"/>
        </w:rPr>
        <w:drawing>
          <wp:inline distT="0" distB="0" distL="0" distR="0" wp14:anchorId="306137B3" wp14:editId="1CA2AC24">
            <wp:extent cx="594995" cy="626745"/>
            <wp:effectExtent l="0" t="0" r="0" b="1905"/>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995" cy="626745"/>
                    </a:xfrm>
                    <a:prstGeom prst="rect">
                      <a:avLst/>
                    </a:prstGeom>
                    <a:noFill/>
                    <a:ln>
                      <a:noFill/>
                    </a:ln>
                  </pic:spPr>
                </pic:pic>
              </a:graphicData>
            </a:graphic>
          </wp:inline>
        </w:drawing>
      </w:r>
    </w:p>
    <w:p w:rsidR="00516667" w:rsidRDefault="00256143">
      <w:pPr>
        <w:jc w:val="center"/>
        <w:rPr>
          <w:b/>
          <w:lang w:eastAsia="lt-LT"/>
        </w:rPr>
      </w:pPr>
      <w:r>
        <w:rPr>
          <w:b/>
          <w:lang w:eastAsia="lt-LT"/>
        </w:rPr>
        <w:t>LIETUVOS RESPUBLIKOS FINANSŲ MINISTRAS</w:t>
      </w:r>
    </w:p>
    <w:p w:rsidR="00516667" w:rsidRDefault="00516667">
      <w:pPr>
        <w:jc w:val="center"/>
        <w:rPr>
          <w:b/>
          <w:lang w:eastAsia="lt-LT"/>
        </w:rPr>
      </w:pPr>
    </w:p>
    <w:p w:rsidR="00516667" w:rsidRDefault="00256143">
      <w:pPr>
        <w:jc w:val="center"/>
        <w:rPr>
          <w:b/>
          <w:bCs/>
          <w:szCs w:val="24"/>
          <w:lang w:eastAsia="lt-LT"/>
        </w:rPr>
      </w:pPr>
      <w:r>
        <w:rPr>
          <w:b/>
          <w:bCs/>
          <w:szCs w:val="24"/>
          <w:lang w:eastAsia="lt-LT"/>
        </w:rPr>
        <w:t>ĮSAKYMAS</w:t>
      </w:r>
    </w:p>
    <w:p w:rsidR="00516667" w:rsidRDefault="00256143">
      <w:pPr>
        <w:keepNext/>
        <w:jc w:val="center"/>
        <w:outlineLvl w:val="3"/>
        <w:rPr>
          <w:b/>
        </w:rPr>
      </w:pPr>
      <w:r>
        <w:rPr>
          <w:b/>
        </w:rPr>
        <w:t xml:space="preserve">DĖL IŠ LIETUVOS RESPUBLIKAI IŠ PRISITAIKYMO PRIE „BREXIT’O“ REZERVO </w:t>
      </w:r>
      <w:r>
        <w:rPr>
          <w:b/>
          <w:szCs w:val="24"/>
        </w:rPr>
        <w:t xml:space="preserve">PAGAL PRIEMONĘ </w:t>
      </w:r>
      <w:r>
        <w:rPr>
          <w:b/>
          <w:bCs/>
          <w:szCs w:val="24"/>
        </w:rPr>
        <w:t>NR. 15.1.1-CPVA-V-205 „PRISITAIKYMAS PRIE „BREXIT</w:t>
      </w:r>
      <w:r>
        <w:rPr>
          <w:b/>
        </w:rPr>
        <w:t>’</w:t>
      </w:r>
      <w:r>
        <w:rPr>
          <w:b/>
          <w:bCs/>
          <w:szCs w:val="24"/>
        </w:rPr>
        <w:t xml:space="preserve">O“ </w:t>
      </w:r>
      <w:r>
        <w:rPr>
          <w:b/>
        </w:rPr>
        <w:t xml:space="preserve">SKIRTŲ LĖŠŲ SIŪLOMŲ FINANSUOTI VALSTYBĖS PROJEKTŲ </w:t>
      </w:r>
    </w:p>
    <w:p w:rsidR="00516667" w:rsidRDefault="00256143">
      <w:pPr>
        <w:keepNext/>
        <w:jc w:val="center"/>
        <w:outlineLvl w:val="3"/>
        <w:rPr>
          <w:b/>
          <w:bCs/>
          <w:szCs w:val="24"/>
        </w:rPr>
      </w:pPr>
      <w:r>
        <w:rPr>
          <w:b/>
          <w:bCs/>
          <w:szCs w:val="24"/>
        </w:rPr>
        <w:t>SĄRAŠO PATVIRTINIMO</w:t>
      </w:r>
    </w:p>
    <w:p w:rsidR="00516667" w:rsidRDefault="00516667">
      <w:pPr>
        <w:jc w:val="center"/>
        <w:rPr>
          <w:szCs w:val="24"/>
          <w:lang w:eastAsia="lt-LT"/>
        </w:rPr>
      </w:pPr>
    </w:p>
    <w:p w:rsidR="00516667" w:rsidRDefault="00256143">
      <w:pPr>
        <w:jc w:val="center"/>
        <w:rPr>
          <w:szCs w:val="24"/>
          <w:lang w:eastAsia="lt-LT"/>
        </w:rPr>
      </w:pPr>
      <w:r>
        <w:rPr>
          <w:szCs w:val="24"/>
          <w:lang w:eastAsia="lt-LT"/>
        </w:rPr>
        <w:t>2022 m. birželio 1 d. Nr. 1K-197</w:t>
      </w:r>
    </w:p>
    <w:p w:rsidR="00516667" w:rsidRDefault="00256143">
      <w:pPr>
        <w:keepNext/>
        <w:jc w:val="center"/>
        <w:outlineLvl w:val="3"/>
        <w:rPr>
          <w:szCs w:val="24"/>
        </w:rPr>
      </w:pPr>
      <w:r>
        <w:rPr>
          <w:szCs w:val="24"/>
        </w:rPr>
        <w:t>Vilnius</w:t>
      </w:r>
    </w:p>
    <w:p w:rsidR="00516667" w:rsidRDefault="00516667">
      <w:pPr>
        <w:jc w:val="both"/>
        <w:rPr>
          <w:szCs w:val="24"/>
          <w:lang w:eastAsia="lt-LT"/>
        </w:rPr>
      </w:pPr>
    </w:p>
    <w:p w:rsidR="00516667" w:rsidRDefault="00256143">
      <w:pPr>
        <w:ind w:firstLine="720"/>
        <w:jc w:val="both"/>
        <w:rPr>
          <w:szCs w:val="24"/>
          <w:lang w:eastAsia="lt-LT"/>
        </w:rPr>
      </w:pPr>
      <w:r>
        <w:rPr>
          <w:szCs w:val="24"/>
          <w:lang w:eastAsia="lt-LT"/>
        </w:rPr>
        <w:t xml:space="preserve">Vadovaudamasi Lietuvos Respublikai iš Prisitaikymo prie „Brexit’o“ rezervo skirtų lėšų administravimo taisyklių, patvirtintų Lietuvos Respublikos Vyriausybės 2022 m. gegužės 18 d. nutarimu Nr. 507 „Dėl Lietuvos Respublikai iš Prisitaikymo prie „Brexit’o“ rezervo skirtų lėšų administravimo“, 19 punktu, </w:t>
      </w:r>
    </w:p>
    <w:p w:rsidR="00516667" w:rsidRDefault="00256143">
      <w:pPr>
        <w:ind w:firstLine="720"/>
        <w:jc w:val="both"/>
        <w:rPr>
          <w:szCs w:val="24"/>
          <w:lang w:eastAsia="lt-LT"/>
        </w:rPr>
      </w:pPr>
      <w:r>
        <w:rPr>
          <w:szCs w:val="24"/>
          <w:lang w:eastAsia="lt-LT"/>
        </w:rPr>
        <w:t>t v i r t i n u Iš Lietuvos Respublikai iš Prisitaikymo prie „Brexit’o“ rezervo pagal priemonę N</w:t>
      </w:r>
      <w:r>
        <w:rPr>
          <w:bCs/>
          <w:szCs w:val="24"/>
          <w:lang w:eastAsia="lt-LT"/>
        </w:rPr>
        <w:t>r. 15.1.1-CPVA-V-205 „Prisitaikymas prie „Brexit</w:t>
      </w:r>
      <w:r>
        <w:rPr>
          <w:lang w:eastAsia="lt-LT"/>
        </w:rPr>
        <w:t>’</w:t>
      </w:r>
      <w:r>
        <w:rPr>
          <w:bCs/>
          <w:szCs w:val="24"/>
          <w:lang w:eastAsia="lt-LT"/>
        </w:rPr>
        <w:t>o“</w:t>
      </w:r>
      <w:r>
        <w:rPr>
          <w:b/>
          <w:bCs/>
          <w:szCs w:val="24"/>
          <w:lang w:eastAsia="lt-LT"/>
        </w:rPr>
        <w:t xml:space="preserve"> </w:t>
      </w:r>
      <w:r>
        <w:rPr>
          <w:szCs w:val="24"/>
          <w:lang w:eastAsia="lt-LT"/>
        </w:rPr>
        <w:t>skirtų lėšų siūlomų finansuoti valstybės projektų sąrašą (pridedama).</w:t>
      </w:r>
    </w:p>
    <w:p w:rsidR="00516667" w:rsidRDefault="00516667">
      <w:pPr>
        <w:ind w:firstLine="720"/>
        <w:jc w:val="both"/>
        <w:rPr>
          <w:szCs w:val="24"/>
          <w:lang w:eastAsia="lt-LT"/>
        </w:rPr>
      </w:pPr>
    </w:p>
    <w:p w:rsidR="00516667" w:rsidRDefault="00516667">
      <w:pPr>
        <w:ind w:firstLine="709"/>
        <w:rPr>
          <w:lang w:eastAsia="lt-LT"/>
        </w:rPr>
      </w:pPr>
    </w:p>
    <w:p w:rsidR="00516667" w:rsidRDefault="00516667">
      <w:pPr>
        <w:ind w:firstLine="709"/>
        <w:rPr>
          <w:lang w:eastAsia="lt-LT"/>
        </w:rPr>
      </w:pPr>
    </w:p>
    <w:p w:rsidR="00516667" w:rsidRDefault="00256143">
      <w:pPr>
        <w:rPr>
          <w:lang w:eastAsia="lt-LT"/>
        </w:rPr>
      </w:pPr>
      <w:r>
        <w:rPr>
          <w:szCs w:val="24"/>
          <w:lang w:eastAsia="lt-LT"/>
        </w:rPr>
        <w:t>Finansų ministrė</w:t>
      </w:r>
      <w:r>
        <w:rPr>
          <w:szCs w:val="24"/>
          <w:lang w:eastAsia="lt-LT"/>
        </w:rPr>
        <w:tab/>
      </w:r>
      <w:r>
        <w:rPr>
          <w:szCs w:val="24"/>
          <w:lang w:eastAsia="lt-LT"/>
        </w:rPr>
        <w:tab/>
      </w:r>
      <w:r>
        <w:rPr>
          <w:szCs w:val="24"/>
          <w:lang w:eastAsia="lt-LT"/>
        </w:rPr>
        <w:tab/>
      </w:r>
      <w:r>
        <w:rPr>
          <w:szCs w:val="24"/>
          <w:lang w:eastAsia="lt-LT"/>
        </w:rPr>
        <w:tab/>
      </w:r>
      <w:r>
        <w:rPr>
          <w:szCs w:val="24"/>
          <w:lang w:eastAsia="lt-LT"/>
        </w:rPr>
        <w:tab/>
      </w:r>
      <w:r>
        <w:rPr>
          <w:szCs w:val="24"/>
          <w:lang w:eastAsia="lt-LT"/>
        </w:rPr>
        <w:tab/>
      </w:r>
      <w:r>
        <w:rPr>
          <w:szCs w:val="24"/>
          <w:lang w:eastAsia="lt-LT"/>
        </w:rPr>
        <w:tab/>
      </w:r>
      <w:r>
        <w:rPr>
          <w:szCs w:val="24"/>
          <w:lang w:eastAsia="lt-LT"/>
        </w:rPr>
        <w:tab/>
      </w:r>
      <w:r>
        <w:rPr>
          <w:szCs w:val="24"/>
          <w:lang w:eastAsia="lt-LT"/>
        </w:rPr>
        <w:tab/>
      </w:r>
      <w:r>
        <w:rPr>
          <w:lang w:eastAsia="lt-LT"/>
        </w:rPr>
        <w:t>Gintarė Skaistė</w:t>
      </w:r>
    </w:p>
    <w:p w:rsidR="00516667" w:rsidRDefault="00516667">
      <w:pPr>
        <w:tabs>
          <w:tab w:val="center" w:pos="4153"/>
          <w:tab w:val="right" w:pos="8306"/>
        </w:tabs>
        <w:rPr>
          <w:lang w:eastAsia="lt-LT"/>
        </w:rPr>
      </w:pPr>
    </w:p>
    <w:p w:rsidR="00256143" w:rsidRDefault="00256143" w:rsidP="00256143">
      <w:pPr>
        <w:sectPr w:rsidR="00256143" w:rsidSect="00256143">
          <w:headerReference w:type="even" r:id="rId8"/>
          <w:headerReference w:type="default" r:id="rId9"/>
          <w:footerReference w:type="even" r:id="rId10"/>
          <w:footerReference w:type="default" r:id="rId11"/>
          <w:headerReference w:type="first" r:id="rId12"/>
          <w:footerReference w:type="first" r:id="rId13"/>
          <w:pgSz w:w="11906" w:h="16838" w:code="9"/>
          <w:pgMar w:top="992" w:right="567" w:bottom="992" w:left="1701" w:header="561" w:footer="686" w:gutter="0"/>
          <w:pgNumType w:start="1"/>
          <w:cols w:space="1296"/>
          <w:formProt w:val="0"/>
          <w:titlePg/>
          <w:docGrid w:linePitch="326"/>
        </w:sectPr>
      </w:pPr>
    </w:p>
    <w:p w:rsidR="00516667" w:rsidRDefault="00256143">
      <w:pPr>
        <w:ind w:left="10490"/>
        <w:rPr>
          <w:szCs w:val="24"/>
          <w:lang w:eastAsia="lt-LT"/>
        </w:rPr>
      </w:pPr>
      <w:r>
        <w:rPr>
          <w:szCs w:val="24"/>
          <w:lang w:eastAsia="lt-LT"/>
        </w:rPr>
        <w:lastRenderedPageBreak/>
        <w:t xml:space="preserve">PATVIRTINTA </w:t>
      </w:r>
    </w:p>
    <w:p w:rsidR="00516667" w:rsidRDefault="00256143">
      <w:pPr>
        <w:ind w:left="10490"/>
        <w:rPr>
          <w:szCs w:val="24"/>
          <w:lang w:eastAsia="lt-LT"/>
        </w:rPr>
      </w:pPr>
      <w:r>
        <w:rPr>
          <w:szCs w:val="24"/>
          <w:lang w:eastAsia="lt-LT"/>
        </w:rPr>
        <w:t xml:space="preserve">Lietuvos Respublikos finansų ministro </w:t>
      </w:r>
    </w:p>
    <w:p w:rsidR="00516667" w:rsidRDefault="00256143">
      <w:pPr>
        <w:ind w:left="10490"/>
        <w:rPr>
          <w:szCs w:val="24"/>
          <w:lang w:eastAsia="lt-LT"/>
        </w:rPr>
      </w:pPr>
      <w:r>
        <w:rPr>
          <w:szCs w:val="24"/>
          <w:lang w:eastAsia="lt-LT"/>
        </w:rPr>
        <w:t>2022 m. birželio 1 d. įsakymu Nr. 1K-197</w:t>
      </w:r>
    </w:p>
    <w:p w:rsidR="00516667" w:rsidRDefault="00516667">
      <w:pPr>
        <w:ind w:left="10490"/>
        <w:rPr>
          <w:szCs w:val="24"/>
          <w:lang w:eastAsia="lt-LT"/>
        </w:rPr>
      </w:pPr>
    </w:p>
    <w:p w:rsidR="00516667" w:rsidRDefault="00256143">
      <w:pPr>
        <w:jc w:val="center"/>
        <w:rPr>
          <w:b/>
          <w:bCs/>
          <w:szCs w:val="24"/>
          <w:lang w:eastAsia="lt-LT"/>
        </w:rPr>
      </w:pPr>
      <w:r>
        <w:rPr>
          <w:b/>
          <w:szCs w:val="24"/>
          <w:lang w:eastAsia="lt-LT"/>
        </w:rPr>
        <w:t xml:space="preserve">IŠ LIETUVOS RESPUBLIKAI IŠ PRISITAIKYMO PRIE „BREXIT’O“ REZERVO PAGAL </w:t>
      </w:r>
      <w:bookmarkStart w:id="0" w:name="_GoBack"/>
      <w:r>
        <w:rPr>
          <w:b/>
          <w:szCs w:val="24"/>
          <w:lang w:eastAsia="lt-LT"/>
        </w:rPr>
        <w:t xml:space="preserve">PRIEMONĘ </w:t>
      </w:r>
      <w:r>
        <w:rPr>
          <w:b/>
          <w:bCs/>
          <w:szCs w:val="24"/>
          <w:lang w:eastAsia="lt-LT"/>
        </w:rPr>
        <w:t>NR. 15.1.1-CPVA-V-205 „PRISITAIKYMAS PRIE „BREXIT</w:t>
      </w:r>
      <w:r>
        <w:rPr>
          <w:b/>
          <w:lang w:eastAsia="lt-LT"/>
        </w:rPr>
        <w:t>’</w:t>
      </w:r>
      <w:r>
        <w:rPr>
          <w:b/>
          <w:bCs/>
          <w:szCs w:val="24"/>
          <w:lang w:eastAsia="lt-LT"/>
        </w:rPr>
        <w:t xml:space="preserve">O“ </w:t>
      </w:r>
      <w:r>
        <w:rPr>
          <w:b/>
          <w:szCs w:val="24"/>
          <w:lang w:eastAsia="lt-LT"/>
        </w:rPr>
        <w:t>SKIRTŲ LĖŠŲ SIŪLOMŲ FINANSUOTI VALSTYBĖS PROJEKTŲ SĄRAŠAS</w:t>
      </w:r>
      <w:bookmarkEnd w:id="0"/>
    </w:p>
    <w:p w:rsidR="00516667" w:rsidRDefault="00516667">
      <w:pPr>
        <w:rPr>
          <w:b/>
          <w:bCs/>
          <w:sz w:val="22"/>
          <w:szCs w:val="22"/>
          <w:lang w:eastAsia="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1898"/>
        <w:gridCol w:w="2195"/>
        <w:gridCol w:w="1646"/>
        <w:gridCol w:w="1646"/>
        <w:gridCol w:w="1646"/>
        <w:gridCol w:w="2334"/>
        <w:gridCol w:w="1507"/>
        <w:gridCol w:w="1416"/>
      </w:tblGrid>
      <w:tr w:rsidR="00516667" w:rsidTr="00256143">
        <w:tc>
          <w:tcPr>
            <w:tcW w:w="182" w:type="pct"/>
            <w:vAlign w:val="center"/>
          </w:tcPr>
          <w:p w:rsidR="00516667" w:rsidRDefault="00256143">
            <w:pPr>
              <w:jc w:val="center"/>
              <w:rPr>
                <w:szCs w:val="24"/>
                <w:lang w:eastAsia="lt-LT"/>
              </w:rPr>
            </w:pPr>
            <w:r>
              <w:rPr>
                <w:szCs w:val="24"/>
                <w:lang w:eastAsia="lt-LT"/>
              </w:rPr>
              <w:t>Eil. Nr.</w:t>
            </w:r>
          </w:p>
        </w:tc>
        <w:tc>
          <w:tcPr>
            <w:tcW w:w="642" w:type="pct"/>
            <w:vAlign w:val="center"/>
          </w:tcPr>
          <w:p w:rsidR="00516667" w:rsidRDefault="00256143">
            <w:pPr>
              <w:jc w:val="center"/>
              <w:rPr>
                <w:szCs w:val="24"/>
                <w:lang w:eastAsia="lt-LT"/>
              </w:rPr>
            </w:pPr>
            <w:r>
              <w:rPr>
                <w:szCs w:val="24"/>
              </w:rPr>
              <w:t>Galimas pareiškėjas</w:t>
            </w:r>
          </w:p>
        </w:tc>
        <w:tc>
          <w:tcPr>
            <w:tcW w:w="742" w:type="pct"/>
            <w:vAlign w:val="center"/>
          </w:tcPr>
          <w:p w:rsidR="00516667" w:rsidRDefault="00256143">
            <w:pPr>
              <w:jc w:val="center"/>
              <w:rPr>
                <w:i/>
                <w:szCs w:val="24"/>
                <w:lang w:eastAsia="lt-LT"/>
              </w:rPr>
            </w:pPr>
            <w:r>
              <w:rPr>
                <w:szCs w:val="24"/>
              </w:rPr>
              <w:t>Preliminarus iš Lietuvos Respublikai iš Prisitaikymo prie „Brexit’o“ rezervo skirtų lėšų (toliau – Rezervo lėšos) siūlomo finansuoti valstybės projekto (toliau – projektas) pavadinimas</w:t>
            </w:r>
          </w:p>
        </w:tc>
        <w:tc>
          <w:tcPr>
            <w:tcW w:w="557" w:type="pct"/>
            <w:vAlign w:val="center"/>
          </w:tcPr>
          <w:p w:rsidR="00516667" w:rsidRDefault="00256143">
            <w:pPr>
              <w:jc w:val="center"/>
              <w:rPr>
                <w:szCs w:val="24"/>
                <w:lang w:eastAsia="lt-LT"/>
              </w:rPr>
            </w:pPr>
            <w:r>
              <w:rPr>
                <w:szCs w:val="24"/>
              </w:rPr>
              <w:t>Preliminari iš Rezervo lėšų tinkamų finansuoti projekto išlaidų suma, eurais</w:t>
            </w:r>
          </w:p>
        </w:tc>
        <w:tc>
          <w:tcPr>
            <w:tcW w:w="557" w:type="pct"/>
            <w:vAlign w:val="center"/>
          </w:tcPr>
          <w:p w:rsidR="00516667" w:rsidRDefault="00256143">
            <w:pPr>
              <w:jc w:val="center"/>
              <w:rPr>
                <w:szCs w:val="24"/>
                <w:lang w:eastAsia="lt-LT"/>
              </w:rPr>
            </w:pPr>
            <w:r>
              <w:rPr>
                <w:szCs w:val="24"/>
              </w:rPr>
              <w:t>Projektui numatomo skirti finansavimo iš Rezervo lėšų suma, eurais</w:t>
            </w:r>
          </w:p>
        </w:tc>
        <w:tc>
          <w:tcPr>
            <w:tcW w:w="557" w:type="pct"/>
            <w:vAlign w:val="center"/>
          </w:tcPr>
          <w:p w:rsidR="00516667" w:rsidRDefault="00256143">
            <w:pPr>
              <w:jc w:val="center"/>
              <w:rPr>
                <w:szCs w:val="24"/>
                <w:lang w:eastAsia="lt-LT"/>
              </w:rPr>
            </w:pPr>
            <w:r>
              <w:rPr>
                <w:szCs w:val="24"/>
              </w:rPr>
              <w:t>Projektui numatoma skirti Lietuvos Respublikos valstybės biudžeto lėšų suma iš Rezervo lėšų netinkamam finansuoti pridėtinės vertės mokesčiui apmokėti, eurais</w:t>
            </w:r>
          </w:p>
        </w:tc>
        <w:tc>
          <w:tcPr>
            <w:tcW w:w="789" w:type="pct"/>
            <w:vAlign w:val="center"/>
          </w:tcPr>
          <w:p w:rsidR="00516667" w:rsidRDefault="00256143">
            <w:pPr>
              <w:jc w:val="center"/>
              <w:rPr>
                <w:i/>
                <w:szCs w:val="24"/>
                <w:lang w:eastAsia="lt-LT"/>
              </w:rPr>
            </w:pPr>
            <w:r>
              <w:rPr>
                <w:szCs w:val="24"/>
              </w:rPr>
              <w:t>Planuojami nustatyti projekto stebėsenos rodikliai ir jų siektinos reikšmės</w:t>
            </w:r>
          </w:p>
        </w:tc>
        <w:tc>
          <w:tcPr>
            <w:tcW w:w="510" w:type="pct"/>
            <w:vAlign w:val="center"/>
          </w:tcPr>
          <w:p w:rsidR="00516667" w:rsidRDefault="00256143">
            <w:pPr>
              <w:jc w:val="center"/>
              <w:rPr>
                <w:szCs w:val="24"/>
                <w:lang w:eastAsia="lt-LT"/>
              </w:rPr>
            </w:pPr>
            <w:r>
              <w:rPr>
                <w:szCs w:val="24"/>
              </w:rPr>
              <w:t xml:space="preserve">Paraiškos finansuoti projektą pateikimo </w:t>
            </w:r>
            <w:proofErr w:type="spellStart"/>
            <w:r>
              <w:rPr>
                <w:szCs w:val="24"/>
              </w:rPr>
              <w:t>įgyvendinan-čiajai</w:t>
            </w:r>
            <w:proofErr w:type="spellEnd"/>
            <w:r>
              <w:rPr>
                <w:szCs w:val="24"/>
              </w:rPr>
              <w:t xml:space="preserve"> institucijai terminas</w:t>
            </w:r>
          </w:p>
        </w:tc>
        <w:tc>
          <w:tcPr>
            <w:tcW w:w="464" w:type="pct"/>
            <w:vAlign w:val="center"/>
          </w:tcPr>
          <w:p w:rsidR="00516667" w:rsidRDefault="00256143">
            <w:pPr>
              <w:jc w:val="center"/>
              <w:rPr>
                <w:szCs w:val="24"/>
                <w:lang w:eastAsia="lt-LT"/>
              </w:rPr>
            </w:pPr>
            <w:r>
              <w:rPr>
                <w:szCs w:val="24"/>
              </w:rPr>
              <w:t xml:space="preserve">Projekto </w:t>
            </w:r>
            <w:proofErr w:type="spellStart"/>
            <w:r>
              <w:rPr>
                <w:szCs w:val="24"/>
              </w:rPr>
              <w:t>parengtumo</w:t>
            </w:r>
            <w:proofErr w:type="spellEnd"/>
            <w:r>
              <w:rPr>
                <w:szCs w:val="24"/>
              </w:rPr>
              <w:t xml:space="preserve"> reikalavimai (jei taikoma)</w:t>
            </w:r>
          </w:p>
        </w:tc>
      </w:tr>
      <w:tr w:rsidR="00516667" w:rsidTr="00256143">
        <w:tc>
          <w:tcPr>
            <w:tcW w:w="182" w:type="pct"/>
          </w:tcPr>
          <w:p w:rsidR="00516667" w:rsidRDefault="00256143">
            <w:pPr>
              <w:jc w:val="center"/>
              <w:rPr>
                <w:szCs w:val="24"/>
              </w:rPr>
            </w:pPr>
            <w:r>
              <w:rPr>
                <w:szCs w:val="24"/>
              </w:rPr>
              <w:t>1</w:t>
            </w:r>
          </w:p>
        </w:tc>
        <w:tc>
          <w:tcPr>
            <w:tcW w:w="642" w:type="pct"/>
          </w:tcPr>
          <w:p w:rsidR="00516667" w:rsidRDefault="00256143">
            <w:pPr>
              <w:jc w:val="center"/>
              <w:rPr>
                <w:szCs w:val="24"/>
              </w:rPr>
            </w:pPr>
            <w:r>
              <w:rPr>
                <w:szCs w:val="24"/>
              </w:rPr>
              <w:t>2</w:t>
            </w:r>
          </w:p>
        </w:tc>
        <w:tc>
          <w:tcPr>
            <w:tcW w:w="742" w:type="pct"/>
          </w:tcPr>
          <w:p w:rsidR="00516667" w:rsidRDefault="00256143">
            <w:pPr>
              <w:jc w:val="center"/>
              <w:rPr>
                <w:szCs w:val="24"/>
              </w:rPr>
            </w:pPr>
            <w:r>
              <w:rPr>
                <w:szCs w:val="24"/>
              </w:rPr>
              <w:t>3</w:t>
            </w:r>
          </w:p>
        </w:tc>
        <w:tc>
          <w:tcPr>
            <w:tcW w:w="557" w:type="pct"/>
          </w:tcPr>
          <w:p w:rsidR="00516667" w:rsidRDefault="00256143">
            <w:pPr>
              <w:jc w:val="center"/>
              <w:rPr>
                <w:szCs w:val="24"/>
              </w:rPr>
            </w:pPr>
            <w:r>
              <w:rPr>
                <w:szCs w:val="24"/>
              </w:rPr>
              <w:t>4</w:t>
            </w:r>
          </w:p>
        </w:tc>
        <w:tc>
          <w:tcPr>
            <w:tcW w:w="557" w:type="pct"/>
          </w:tcPr>
          <w:p w:rsidR="00516667" w:rsidRDefault="00256143">
            <w:pPr>
              <w:jc w:val="center"/>
              <w:rPr>
                <w:szCs w:val="24"/>
              </w:rPr>
            </w:pPr>
            <w:r>
              <w:rPr>
                <w:szCs w:val="24"/>
              </w:rPr>
              <w:t>5</w:t>
            </w:r>
          </w:p>
        </w:tc>
        <w:tc>
          <w:tcPr>
            <w:tcW w:w="557" w:type="pct"/>
          </w:tcPr>
          <w:p w:rsidR="00516667" w:rsidRDefault="00256143">
            <w:pPr>
              <w:jc w:val="center"/>
              <w:rPr>
                <w:szCs w:val="24"/>
              </w:rPr>
            </w:pPr>
            <w:r>
              <w:rPr>
                <w:szCs w:val="24"/>
              </w:rPr>
              <w:t>6</w:t>
            </w:r>
          </w:p>
        </w:tc>
        <w:tc>
          <w:tcPr>
            <w:tcW w:w="789" w:type="pct"/>
          </w:tcPr>
          <w:p w:rsidR="00516667" w:rsidRDefault="00256143">
            <w:pPr>
              <w:jc w:val="center"/>
              <w:rPr>
                <w:szCs w:val="24"/>
              </w:rPr>
            </w:pPr>
            <w:r>
              <w:rPr>
                <w:szCs w:val="24"/>
              </w:rPr>
              <w:t>7</w:t>
            </w:r>
          </w:p>
        </w:tc>
        <w:tc>
          <w:tcPr>
            <w:tcW w:w="510" w:type="pct"/>
          </w:tcPr>
          <w:p w:rsidR="00516667" w:rsidRDefault="00256143">
            <w:pPr>
              <w:jc w:val="center"/>
              <w:rPr>
                <w:szCs w:val="24"/>
              </w:rPr>
            </w:pPr>
            <w:r>
              <w:rPr>
                <w:szCs w:val="24"/>
              </w:rPr>
              <w:t>8</w:t>
            </w:r>
          </w:p>
        </w:tc>
        <w:tc>
          <w:tcPr>
            <w:tcW w:w="464" w:type="pct"/>
          </w:tcPr>
          <w:p w:rsidR="00516667" w:rsidRDefault="00256143">
            <w:pPr>
              <w:jc w:val="center"/>
              <w:rPr>
                <w:szCs w:val="24"/>
              </w:rPr>
            </w:pPr>
            <w:r>
              <w:rPr>
                <w:szCs w:val="24"/>
              </w:rPr>
              <w:t>9</w:t>
            </w:r>
          </w:p>
        </w:tc>
      </w:tr>
      <w:tr w:rsidR="00516667" w:rsidTr="00256143">
        <w:tc>
          <w:tcPr>
            <w:tcW w:w="182" w:type="pct"/>
            <w:shd w:val="clear" w:color="auto" w:fill="auto"/>
          </w:tcPr>
          <w:p w:rsidR="00516667" w:rsidRDefault="00256143">
            <w:pPr>
              <w:jc w:val="center"/>
              <w:rPr>
                <w:szCs w:val="24"/>
                <w:lang w:eastAsia="lt-LT"/>
              </w:rPr>
            </w:pPr>
            <w:r>
              <w:rPr>
                <w:szCs w:val="24"/>
              </w:rPr>
              <w:t>1.</w:t>
            </w:r>
          </w:p>
        </w:tc>
        <w:tc>
          <w:tcPr>
            <w:tcW w:w="642" w:type="pct"/>
          </w:tcPr>
          <w:p w:rsidR="00516667" w:rsidRDefault="00256143">
            <w:pPr>
              <w:rPr>
                <w:color w:val="000000"/>
                <w:szCs w:val="24"/>
                <w:lang w:eastAsia="lt-LT"/>
              </w:rPr>
            </w:pPr>
            <w:r>
              <w:rPr>
                <w:color w:val="000000"/>
                <w:szCs w:val="24"/>
              </w:rPr>
              <w:t>Muitinės departamentas prie Lietuvos Respublikos finansų ministerijos</w:t>
            </w:r>
          </w:p>
        </w:tc>
        <w:tc>
          <w:tcPr>
            <w:tcW w:w="742" w:type="pct"/>
          </w:tcPr>
          <w:p w:rsidR="00516667" w:rsidRDefault="00256143">
            <w:pPr>
              <w:rPr>
                <w:szCs w:val="24"/>
                <w:lang w:eastAsia="lt-LT"/>
              </w:rPr>
            </w:pPr>
            <w:r>
              <w:rPr>
                <w:szCs w:val="24"/>
              </w:rPr>
              <w:t xml:space="preserve">Muitinės kontrolės, </w:t>
            </w:r>
            <w:r>
              <w:rPr>
                <w:color w:val="000000"/>
                <w:szCs w:val="24"/>
              </w:rPr>
              <w:t>informacinių technologijų</w:t>
            </w:r>
            <w:r>
              <w:rPr>
                <w:szCs w:val="24"/>
              </w:rPr>
              <w:t xml:space="preserve"> infrastruktūros ir muitinio tikrinimo įrangos sprendimai „Brexit’o“ pasekmėms mažinti</w:t>
            </w:r>
          </w:p>
        </w:tc>
        <w:tc>
          <w:tcPr>
            <w:tcW w:w="557" w:type="pct"/>
          </w:tcPr>
          <w:p w:rsidR="00516667" w:rsidRDefault="00256143">
            <w:pPr>
              <w:jc w:val="right"/>
              <w:rPr>
                <w:szCs w:val="24"/>
                <w:lang w:eastAsia="lt-LT"/>
              </w:rPr>
            </w:pPr>
            <w:r>
              <w:rPr>
                <w:szCs w:val="24"/>
              </w:rPr>
              <w:t>10 058 000</w:t>
            </w:r>
          </w:p>
        </w:tc>
        <w:tc>
          <w:tcPr>
            <w:tcW w:w="557" w:type="pct"/>
          </w:tcPr>
          <w:p w:rsidR="00516667" w:rsidRDefault="00256143">
            <w:pPr>
              <w:jc w:val="right"/>
              <w:rPr>
                <w:szCs w:val="24"/>
                <w:lang w:eastAsia="lt-LT"/>
              </w:rPr>
            </w:pPr>
            <w:r>
              <w:rPr>
                <w:szCs w:val="24"/>
              </w:rPr>
              <w:t>10 058 000</w:t>
            </w:r>
          </w:p>
        </w:tc>
        <w:tc>
          <w:tcPr>
            <w:tcW w:w="557" w:type="pct"/>
          </w:tcPr>
          <w:p w:rsidR="00516667" w:rsidRDefault="00256143">
            <w:pPr>
              <w:jc w:val="right"/>
              <w:rPr>
                <w:szCs w:val="24"/>
                <w:lang w:eastAsia="lt-LT"/>
              </w:rPr>
            </w:pPr>
            <w:r>
              <w:rPr>
                <w:szCs w:val="24"/>
              </w:rPr>
              <w:t>1 228 800</w:t>
            </w:r>
          </w:p>
        </w:tc>
        <w:tc>
          <w:tcPr>
            <w:tcW w:w="789" w:type="pct"/>
          </w:tcPr>
          <w:p w:rsidR="00516667" w:rsidRDefault="00256143">
            <w:pPr>
              <w:rPr>
                <w:szCs w:val="24"/>
                <w:lang w:eastAsia="lt-LT"/>
              </w:rPr>
            </w:pPr>
            <w:r>
              <w:rPr>
                <w:szCs w:val="24"/>
              </w:rPr>
              <w:t xml:space="preserve">Produkto: </w:t>
            </w:r>
            <w:r>
              <w:rPr>
                <w:szCs w:val="24"/>
              </w:rPr>
              <w:br/>
            </w:r>
            <w:r>
              <w:rPr>
                <w:rFonts w:eastAsia="Arial Unicode MS"/>
                <w:color w:val="000000"/>
                <w:szCs w:val="24"/>
                <w:bdr w:val="nil"/>
              </w:rPr>
              <w:t>Papildom</w:t>
            </w:r>
            <w:r>
              <w:rPr>
                <w:rFonts w:eastAsia="Arial Unicode MS"/>
                <w:bCs/>
                <w:color w:val="000000"/>
                <w:szCs w:val="24"/>
                <w:bdr w:val="nil"/>
              </w:rPr>
              <w:t>ų</w:t>
            </w:r>
            <w:r>
              <w:rPr>
                <w:rFonts w:eastAsia="Arial Unicode MS"/>
                <w:color w:val="000000"/>
                <w:szCs w:val="24"/>
                <w:bdr w:val="nil"/>
              </w:rPr>
              <w:t xml:space="preserve"> darbuotoj</w:t>
            </w:r>
            <w:r>
              <w:rPr>
                <w:rFonts w:eastAsia="Arial Unicode MS"/>
                <w:bCs/>
                <w:color w:val="000000"/>
                <w:szCs w:val="24"/>
                <w:bdr w:val="nil"/>
              </w:rPr>
              <w:t>ų</w:t>
            </w:r>
            <w:r>
              <w:rPr>
                <w:rFonts w:eastAsia="Arial Unicode MS"/>
                <w:color w:val="000000"/>
                <w:szCs w:val="24"/>
                <w:bdr w:val="nil"/>
              </w:rPr>
              <w:t xml:space="preserve"> </w:t>
            </w:r>
            <w:r>
              <w:rPr>
                <w:rFonts w:eastAsia="Arial Unicode MS"/>
                <w:bCs/>
                <w:color w:val="000000"/>
                <w:szCs w:val="24"/>
                <w:bdr w:val="nil"/>
              </w:rPr>
              <w:t>skaičius – 78 etatų ekvivalentas.</w:t>
            </w:r>
            <w:r>
              <w:rPr>
                <w:szCs w:val="24"/>
              </w:rPr>
              <w:br/>
            </w:r>
            <w:r>
              <w:rPr>
                <w:szCs w:val="24"/>
              </w:rPr>
              <w:br/>
              <w:t xml:space="preserve">Rezultato: </w:t>
            </w:r>
            <w:r>
              <w:rPr>
                <w:szCs w:val="24"/>
              </w:rPr>
              <w:br/>
              <w:t xml:space="preserve">Importo, eksporto ir tranzito deklaracijų apdorojimo sistemų nepertraukiamo darbo </w:t>
            </w:r>
            <w:r>
              <w:rPr>
                <w:szCs w:val="24"/>
              </w:rPr>
              <w:lastRenderedPageBreak/>
              <w:t xml:space="preserve">laiko stabilumas – 98,5 proc. </w:t>
            </w:r>
          </w:p>
        </w:tc>
        <w:tc>
          <w:tcPr>
            <w:tcW w:w="510" w:type="pct"/>
          </w:tcPr>
          <w:p w:rsidR="00516667" w:rsidRDefault="00256143">
            <w:pPr>
              <w:jc w:val="center"/>
              <w:rPr>
                <w:szCs w:val="24"/>
                <w:lang w:eastAsia="lt-LT"/>
              </w:rPr>
            </w:pPr>
            <w:r>
              <w:rPr>
                <w:szCs w:val="24"/>
              </w:rPr>
              <w:lastRenderedPageBreak/>
              <w:t>2022-07-04</w:t>
            </w:r>
          </w:p>
        </w:tc>
        <w:tc>
          <w:tcPr>
            <w:tcW w:w="464" w:type="pct"/>
          </w:tcPr>
          <w:p w:rsidR="00516667" w:rsidRDefault="00256143">
            <w:pPr>
              <w:rPr>
                <w:szCs w:val="24"/>
                <w:lang w:eastAsia="lt-LT"/>
              </w:rPr>
            </w:pPr>
            <w:r>
              <w:rPr>
                <w:szCs w:val="24"/>
              </w:rPr>
              <w:t>Netaikoma</w:t>
            </w:r>
          </w:p>
        </w:tc>
      </w:tr>
      <w:tr w:rsidR="00516667" w:rsidTr="00256143">
        <w:tc>
          <w:tcPr>
            <w:tcW w:w="182" w:type="pct"/>
            <w:shd w:val="clear" w:color="auto" w:fill="auto"/>
          </w:tcPr>
          <w:p w:rsidR="00516667" w:rsidRDefault="00256143">
            <w:pPr>
              <w:jc w:val="center"/>
              <w:rPr>
                <w:szCs w:val="24"/>
                <w:lang w:eastAsia="lt-LT"/>
              </w:rPr>
            </w:pPr>
            <w:r>
              <w:rPr>
                <w:szCs w:val="24"/>
              </w:rPr>
              <w:t>2.</w:t>
            </w:r>
          </w:p>
        </w:tc>
        <w:tc>
          <w:tcPr>
            <w:tcW w:w="642" w:type="pct"/>
          </w:tcPr>
          <w:p w:rsidR="00516667" w:rsidRDefault="00256143">
            <w:pPr>
              <w:rPr>
                <w:color w:val="000000"/>
                <w:szCs w:val="24"/>
                <w:lang w:eastAsia="lt-LT"/>
              </w:rPr>
            </w:pPr>
            <w:r>
              <w:rPr>
                <w:color w:val="000000"/>
                <w:szCs w:val="24"/>
              </w:rPr>
              <w:t>Valstybinė mokesčių inspekcija prie Lietuvos Respublikos finansų ministerijos</w:t>
            </w:r>
          </w:p>
        </w:tc>
        <w:tc>
          <w:tcPr>
            <w:tcW w:w="742" w:type="pct"/>
          </w:tcPr>
          <w:p w:rsidR="00516667" w:rsidRDefault="00256143">
            <w:pPr>
              <w:rPr>
                <w:szCs w:val="24"/>
                <w:lang w:eastAsia="lt-LT"/>
              </w:rPr>
            </w:pPr>
            <w:r>
              <w:rPr>
                <w:szCs w:val="24"/>
              </w:rPr>
              <w:t>Valstybinės mokesčių inspekcijos prie Lietuvos Respublikos finansų ministerijos informacinių sistemų tobulinimas dėl „Brexit’o“</w:t>
            </w:r>
          </w:p>
        </w:tc>
        <w:tc>
          <w:tcPr>
            <w:tcW w:w="557" w:type="pct"/>
          </w:tcPr>
          <w:p w:rsidR="00516667" w:rsidRDefault="00256143">
            <w:pPr>
              <w:jc w:val="right"/>
              <w:rPr>
                <w:szCs w:val="24"/>
                <w:lang w:eastAsia="lt-LT"/>
              </w:rPr>
            </w:pPr>
            <w:r>
              <w:rPr>
                <w:szCs w:val="24"/>
              </w:rPr>
              <w:t>143 400</w:t>
            </w:r>
          </w:p>
        </w:tc>
        <w:tc>
          <w:tcPr>
            <w:tcW w:w="557" w:type="pct"/>
          </w:tcPr>
          <w:p w:rsidR="00516667" w:rsidRDefault="00256143">
            <w:pPr>
              <w:jc w:val="right"/>
              <w:rPr>
                <w:szCs w:val="24"/>
                <w:lang w:eastAsia="lt-LT"/>
              </w:rPr>
            </w:pPr>
            <w:r>
              <w:rPr>
                <w:szCs w:val="24"/>
              </w:rPr>
              <w:t>143 400</w:t>
            </w:r>
          </w:p>
        </w:tc>
        <w:tc>
          <w:tcPr>
            <w:tcW w:w="557" w:type="pct"/>
          </w:tcPr>
          <w:p w:rsidR="00516667" w:rsidRDefault="00256143">
            <w:pPr>
              <w:jc w:val="right"/>
              <w:rPr>
                <w:szCs w:val="24"/>
                <w:lang w:eastAsia="lt-LT"/>
              </w:rPr>
            </w:pPr>
            <w:r>
              <w:rPr>
                <w:szCs w:val="24"/>
              </w:rPr>
              <w:t>30 100</w:t>
            </w:r>
          </w:p>
        </w:tc>
        <w:tc>
          <w:tcPr>
            <w:tcW w:w="789" w:type="pct"/>
          </w:tcPr>
          <w:p w:rsidR="00516667" w:rsidRDefault="00256143">
            <w:pPr>
              <w:rPr>
                <w:szCs w:val="24"/>
                <w:lang w:eastAsia="lt-LT"/>
              </w:rPr>
            </w:pPr>
            <w:r>
              <w:rPr>
                <w:szCs w:val="24"/>
              </w:rPr>
              <w:t>Produkto:</w:t>
            </w:r>
            <w:r>
              <w:rPr>
                <w:szCs w:val="24"/>
              </w:rPr>
              <w:br/>
              <w:t>Modernizuotų mokesčių administravimo informacinių sistemų skaičius – 3 vnt.</w:t>
            </w:r>
          </w:p>
        </w:tc>
        <w:tc>
          <w:tcPr>
            <w:tcW w:w="510" w:type="pct"/>
          </w:tcPr>
          <w:p w:rsidR="00516667" w:rsidRDefault="00256143">
            <w:pPr>
              <w:jc w:val="center"/>
              <w:rPr>
                <w:szCs w:val="24"/>
                <w:lang w:eastAsia="lt-LT"/>
              </w:rPr>
            </w:pPr>
            <w:r>
              <w:rPr>
                <w:szCs w:val="24"/>
              </w:rPr>
              <w:t>2022-07-04</w:t>
            </w:r>
          </w:p>
        </w:tc>
        <w:tc>
          <w:tcPr>
            <w:tcW w:w="464" w:type="pct"/>
          </w:tcPr>
          <w:p w:rsidR="00516667" w:rsidRDefault="00256143">
            <w:pPr>
              <w:jc w:val="both"/>
              <w:rPr>
                <w:szCs w:val="24"/>
                <w:lang w:eastAsia="lt-LT"/>
              </w:rPr>
            </w:pPr>
            <w:r>
              <w:rPr>
                <w:szCs w:val="24"/>
              </w:rPr>
              <w:t>Netaikoma</w:t>
            </w:r>
          </w:p>
        </w:tc>
      </w:tr>
      <w:tr w:rsidR="00516667" w:rsidTr="00256143">
        <w:tc>
          <w:tcPr>
            <w:tcW w:w="182" w:type="pct"/>
            <w:shd w:val="clear" w:color="auto" w:fill="auto"/>
          </w:tcPr>
          <w:p w:rsidR="00516667" w:rsidRDefault="00256143">
            <w:pPr>
              <w:jc w:val="center"/>
              <w:rPr>
                <w:szCs w:val="24"/>
                <w:lang w:eastAsia="lt-LT"/>
              </w:rPr>
            </w:pPr>
            <w:r>
              <w:rPr>
                <w:szCs w:val="24"/>
              </w:rPr>
              <w:t>3.</w:t>
            </w:r>
          </w:p>
        </w:tc>
        <w:tc>
          <w:tcPr>
            <w:tcW w:w="642" w:type="pct"/>
          </w:tcPr>
          <w:p w:rsidR="00516667" w:rsidRDefault="00256143">
            <w:pPr>
              <w:rPr>
                <w:color w:val="000000"/>
                <w:szCs w:val="24"/>
                <w:lang w:eastAsia="lt-LT"/>
              </w:rPr>
            </w:pPr>
            <w:r>
              <w:rPr>
                <w:color w:val="000000"/>
                <w:szCs w:val="24"/>
              </w:rPr>
              <w:t xml:space="preserve">Valstybinė augalininkystės tarnyba prie Žemės ūkio ministerijos </w:t>
            </w:r>
          </w:p>
        </w:tc>
        <w:tc>
          <w:tcPr>
            <w:tcW w:w="742" w:type="pct"/>
          </w:tcPr>
          <w:p w:rsidR="00516667" w:rsidRDefault="00256143">
            <w:pPr>
              <w:rPr>
                <w:szCs w:val="24"/>
                <w:lang w:eastAsia="lt-LT"/>
              </w:rPr>
            </w:pPr>
            <w:r>
              <w:rPr>
                <w:szCs w:val="24"/>
              </w:rPr>
              <w:t>Fitosanitarinio sertifikato išdavimo proceso tobulinimas ir įvežamų krovinių patikros intensyvinimas</w:t>
            </w:r>
          </w:p>
        </w:tc>
        <w:tc>
          <w:tcPr>
            <w:tcW w:w="557" w:type="pct"/>
          </w:tcPr>
          <w:p w:rsidR="00516667" w:rsidRDefault="00256143">
            <w:pPr>
              <w:jc w:val="right"/>
              <w:rPr>
                <w:szCs w:val="24"/>
                <w:lang w:eastAsia="lt-LT"/>
              </w:rPr>
            </w:pPr>
            <w:r>
              <w:rPr>
                <w:szCs w:val="24"/>
              </w:rPr>
              <w:t>101 272,20</w:t>
            </w:r>
          </w:p>
        </w:tc>
        <w:tc>
          <w:tcPr>
            <w:tcW w:w="557" w:type="pct"/>
          </w:tcPr>
          <w:p w:rsidR="00516667" w:rsidRDefault="00256143">
            <w:pPr>
              <w:jc w:val="right"/>
              <w:rPr>
                <w:szCs w:val="24"/>
                <w:lang w:eastAsia="lt-LT"/>
              </w:rPr>
            </w:pPr>
            <w:r>
              <w:rPr>
                <w:szCs w:val="24"/>
              </w:rPr>
              <w:t>101 272,20</w:t>
            </w:r>
          </w:p>
        </w:tc>
        <w:tc>
          <w:tcPr>
            <w:tcW w:w="557" w:type="pct"/>
          </w:tcPr>
          <w:p w:rsidR="00516667" w:rsidRDefault="00256143">
            <w:pPr>
              <w:jc w:val="right"/>
              <w:rPr>
                <w:szCs w:val="24"/>
                <w:lang w:eastAsia="lt-LT"/>
              </w:rPr>
            </w:pPr>
            <w:r>
              <w:rPr>
                <w:szCs w:val="24"/>
              </w:rPr>
              <w:t>15 330</w:t>
            </w:r>
          </w:p>
        </w:tc>
        <w:tc>
          <w:tcPr>
            <w:tcW w:w="789" w:type="pct"/>
          </w:tcPr>
          <w:p w:rsidR="00516667" w:rsidRDefault="00256143">
            <w:pPr>
              <w:rPr>
                <w:szCs w:val="24"/>
                <w:lang w:eastAsia="lt-LT"/>
              </w:rPr>
            </w:pPr>
            <w:r>
              <w:rPr>
                <w:szCs w:val="24"/>
              </w:rPr>
              <w:t xml:space="preserve">Produkto: </w:t>
            </w:r>
            <w:r>
              <w:rPr>
                <w:szCs w:val="24"/>
              </w:rPr>
              <w:br/>
            </w:r>
            <w:r>
              <w:rPr>
                <w:rFonts w:eastAsia="Arial Unicode MS"/>
                <w:color w:val="000000"/>
                <w:szCs w:val="24"/>
                <w:bdr w:val="nil"/>
              </w:rPr>
              <w:t>Papildom</w:t>
            </w:r>
            <w:r>
              <w:rPr>
                <w:rFonts w:eastAsia="Arial Unicode MS"/>
                <w:bCs/>
                <w:color w:val="000000"/>
                <w:szCs w:val="24"/>
                <w:bdr w:val="nil"/>
              </w:rPr>
              <w:t>ų</w:t>
            </w:r>
            <w:r>
              <w:rPr>
                <w:rFonts w:eastAsia="Arial Unicode MS"/>
                <w:color w:val="000000"/>
                <w:szCs w:val="24"/>
                <w:bdr w:val="nil"/>
              </w:rPr>
              <w:t xml:space="preserve"> darbuotoj</w:t>
            </w:r>
            <w:r>
              <w:rPr>
                <w:rFonts w:eastAsia="Arial Unicode MS"/>
                <w:bCs/>
                <w:color w:val="000000"/>
                <w:szCs w:val="24"/>
                <w:bdr w:val="nil"/>
              </w:rPr>
              <w:t>ų</w:t>
            </w:r>
            <w:r>
              <w:rPr>
                <w:rFonts w:eastAsia="Arial Unicode MS"/>
                <w:color w:val="000000"/>
                <w:szCs w:val="24"/>
                <w:bdr w:val="nil"/>
              </w:rPr>
              <w:t xml:space="preserve"> </w:t>
            </w:r>
            <w:r>
              <w:rPr>
                <w:rFonts w:eastAsia="Arial Unicode MS"/>
                <w:bCs/>
                <w:color w:val="000000"/>
                <w:szCs w:val="24"/>
                <w:bdr w:val="nil"/>
              </w:rPr>
              <w:t xml:space="preserve">skaičius – 1 etato ekvivalentas; </w:t>
            </w:r>
            <w:r>
              <w:rPr>
                <w:szCs w:val="24"/>
              </w:rPr>
              <w:t>Valstybinės augalininkystės tarnybos prie Žemės ūkio ministerijos informacinės sistemos patobulintų procesų skaičius – 3 vnt.</w:t>
            </w:r>
            <w:r>
              <w:rPr>
                <w:szCs w:val="24"/>
              </w:rPr>
              <w:br/>
            </w:r>
            <w:r>
              <w:rPr>
                <w:szCs w:val="24"/>
              </w:rPr>
              <w:br/>
              <w:t xml:space="preserve">Rezultato: </w:t>
            </w:r>
            <w:r>
              <w:rPr>
                <w:szCs w:val="24"/>
              </w:rPr>
              <w:br/>
              <w:t>Išduotų elektroninių oficialių sertifikatų dalis nuo visų išduotų fitosanitarinių sertifikatų skaičiaus – 3 proc.</w:t>
            </w:r>
          </w:p>
        </w:tc>
        <w:tc>
          <w:tcPr>
            <w:tcW w:w="510" w:type="pct"/>
          </w:tcPr>
          <w:p w:rsidR="00516667" w:rsidRDefault="00256143">
            <w:pPr>
              <w:jc w:val="center"/>
              <w:rPr>
                <w:szCs w:val="24"/>
                <w:lang w:eastAsia="lt-LT"/>
              </w:rPr>
            </w:pPr>
            <w:r>
              <w:rPr>
                <w:szCs w:val="24"/>
              </w:rPr>
              <w:t>2022-07-04</w:t>
            </w:r>
          </w:p>
        </w:tc>
        <w:tc>
          <w:tcPr>
            <w:tcW w:w="464" w:type="pct"/>
          </w:tcPr>
          <w:p w:rsidR="00516667" w:rsidRDefault="00256143">
            <w:pPr>
              <w:rPr>
                <w:szCs w:val="24"/>
                <w:lang w:eastAsia="lt-LT"/>
              </w:rPr>
            </w:pPr>
            <w:r>
              <w:rPr>
                <w:szCs w:val="24"/>
              </w:rPr>
              <w:t>Netaikoma</w:t>
            </w:r>
          </w:p>
        </w:tc>
      </w:tr>
      <w:tr w:rsidR="00516667" w:rsidTr="00256143">
        <w:tc>
          <w:tcPr>
            <w:tcW w:w="182" w:type="pct"/>
            <w:shd w:val="clear" w:color="auto" w:fill="auto"/>
          </w:tcPr>
          <w:p w:rsidR="00516667" w:rsidRDefault="00256143">
            <w:pPr>
              <w:jc w:val="center"/>
              <w:rPr>
                <w:szCs w:val="24"/>
                <w:lang w:eastAsia="lt-LT"/>
              </w:rPr>
            </w:pPr>
            <w:r>
              <w:rPr>
                <w:szCs w:val="24"/>
              </w:rPr>
              <w:t>4.</w:t>
            </w:r>
          </w:p>
        </w:tc>
        <w:tc>
          <w:tcPr>
            <w:tcW w:w="642" w:type="pct"/>
          </w:tcPr>
          <w:p w:rsidR="00516667" w:rsidRDefault="00256143">
            <w:pPr>
              <w:rPr>
                <w:color w:val="000000"/>
                <w:szCs w:val="24"/>
                <w:lang w:eastAsia="lt-LT"/>
              </w:rPr>
            </w:pPr>
            <w:r>
              <w:rPr>
                <w:color w:val="000000"/>
                <w:szCs w:val="24"/>
              </w:rPr>
              <w:t xml:space="preserve">Valstybinė maisto ir </w:t>
            </w:r>
            <w:r>
              <w:rPr>
                <w:color w:val="000000"/>
                <w:szCs w:val="24"/>
              </w:rPr>
              <w:lastRenderedPageBreak/>
              <w:t xml:space="preserve">veterinarijos tarnyba </w:t>
            </w:r>
          </w:p>
        </w:tc>
        <w:tc>
          <w:tcPr>
            <w:tcW w:w="742" w:type="pct"/>
          </w:tcPr>
          <w:p w:rsidR="00516667" w:rsidRDefault="00256143">
            <w:pPr>
              <w:rPr>
                <w:szCs w:val="24"/>
                <w:lang w:eastAsia="lt-LT"/>
              </w:rPr>
            </w:pPr>
            <w:r>
              <w:rPr>
                <w:szCs w:val="24"/>
              </w:rPr>
              <w:lastRenderedPageBreak/>
              <w:t xml:space="preserve">Valstybinės maisto ir veterinarijos </w:t>
            </w:r>
            <w:r>
              <w:rPr>
                <w:szCs w:val="24"/>
              </w:rPr>
              <w:lastRenderedPageBreak/>
              <w:t>tarnybos sertifikavimo paslaugų ūkio subjektams pritaikymas dėl „Brexit’o“ poveikio</w:t>
            </w:r>
          </w:p>
        </w:tc>
        <w:tc>
          <w:tcPr>
            <w:tcW w:w="557" w:type="pct"/>
          </w:tcPr>
          <w:p w:rsidR="00516667" w:rsidRDefault="00256143">
            <w:pPr>
              <w:jc w:val="right"/>
              <w:rPr>
                <w:szCs w:val="24"/>
                <w:lang w:eastAsia="lt-LT"/>
              </w:rPr>
            </w:pPr>
            <w:r>
              <w:rPr>
                <w:szCs w:val="24"/>
              </w:rPr>
              <w:lastRenderedPageBreak/>
              <w:t>516 900</w:t>
            </w:r>
          </w:p>
        </w:tc>
        <w:tc>
          <w:tcPr>
            <w:tcW w:w="557" w:type="pct"/>
          </w:tcPr>
          <w:p w:rsidR="00516667" w:rsidRDefault="00256143">
            <w:pPr>
              <w:jc w:val="right"/>
              <w:rPr>
                <w:szCs w:val="24"/>
                <w:lang w:eastAsia="lt-LT"/>
              </w:rPr>
            </w:pPr>
            <w:r>
              <w:rPr>
                <w:szCs w:val="24"/>
              </w:rPr>
              <w:t>516 900</w:t>
            </w:r>
          </w:p>
        </w:tc>
        <w:tc>
          <w:tcPr>
            <w:tcW w:w="557" w:type="pct"/>
          </w:tcPr>
          <w:p w:rsidR="00516667" w:rsidRDefault="00256143">
            <w:pPr>
              <w:jc w:val="right"/>
              <w:rPr>
                <w:szCs w:val="24"/>
                <w:lang w:eastAsia="lt-LT"/>
              </w:rPr>
            </w:pPr>
            <w:r>
              <w:rPr>
                <w:szCs w:val="24"/>
              </w:rPr>
              <w:t>58 700</w:t>
            </w:r>
          </w:p>
        </w:tc>
        <w:tc>
          <w:tcPr>
            <w:tcW w:w="789" w:type="pct"/>
          </w:tcPr>
          <w:p w:rsidR="00516667" w:rsidRDefault="00256143">
            <w:pPr>
              <w:rPr>
                <w:rFonts w:eastAsia="Arial Unicode MS"/>
                <w:color w:val="000000"/>
                <w:szCs w:val="24"/>
                <w:bdr w:val="nil"/>
              </w:rPr>
            </w:pPr>
            <w:r>
              <w:rPr>
                <w:szCs w:val="24"/>
              </w:rPr>
              <w:t xml:space="preserve">Produkto: </w:t>
            </w:r>
            <w:r>
              <w:rPr>
                <w:szCs w:val="24"/>
              </w:rPr>
              <w:br/>
            </w:r>
            <w:r>
              <w:rPr>
                <w:rFonts w:eastAsia="Arial Unicode MS"/>
                <w:color w:val="000000"/>
                <w:szCs w:val="24"/>
                <w:bdr w:val="nil"/>
              </w:rPr>
              <w:t>Įmon</w:t>
            </w:r>
            <w:r>
              <w:rPr>
                <w:rFonts w:eastAsia="Arial Unicode MS"/>
                <w:bCs/>
                <w:color w:val="000000"/>
                <w:szCs w:val="24"/>
                <w:bdr w:val="nil"/>
              </w:rPr>
              <w:t>ių</w:t>
            </w:r>
            <w:r>
              <w:rPr>
                <w:rFonts w:eastAsia="Arial Unicode MS"/>
                <w:color w:val="000000"/>
                <w:szCs w:val="24"/>
                <w:bdr w:val="nil"/>
              </w:rPr>
              <w:t xml:space="preserve">, kurioms </w:t>
            </w:r>
            <w:r>
              <w:rPr>
                <w:rFonts w:eastAsia="Arial Unicode MS"/>
                <w:color w:val="000000"/>
                <w:szCs w:val="24"/>
                <w:bdr w:val="nil"/>
              </w:rPr>
              <w:lastRenderedPageBreak/>
              <w:t>suteikta konsultacinė parama, skaičius – 80 įmonių; papildom</w:t>
            </w:r>
            <w:r>
              <w:rPr>
                <w:rFonts w:eastAsia="Arial Unicode MS"/>
                <w:bCs/>
                <w:color w:val="000000"/>
                <w:szCs w:val="24"/>
                <w:bdr w:val="nil"/>
              </w:rPr>
              <w:t>ų</w:t>
            </w:r>
            <w:r>
              <w:rPr>
                <w:rFonts w:eastAsia="Arial Unicode MS"/>
                <w:color w:val="000000"/>
                <w:szCs w:val="24"/>
                <w:bdr w:val="nil"/>
              </w:rPr>
              <w:t xml:space="preserve"> darbuotoj</w:t>
            </w:r>
            <w:r>
              <w:rPr>
                <w:rFonts w:eastAsia="Arial Unicode MS"/>
                <w:bCs/>
                <w:color w:val="000000"/>
                <w:szCs w:val="24"/>
                <w:bdr w:val="nil"/>
              </w:rPr>
              <w:t>ų</w:t>
            </w:r>
            <w:r>
              <w:rPr>
                <w:rFonts w:eastAsia="Arial Unicode MS"/>
                <w:color w:val="000000"/>
                <w:szCs w:val="24"/>
                <w:bdr w:val="nil"/>
              </w:rPr>
              <w:t xml:space="preserve"> </w:t>
            </w:r>
            <w:r>
              <w:rPr>
                <w:rFonts w:eastAsia="Arial Unicode MS"/>
                <w:bCs/>
                <w:color w:val="000000"/>
                <w:szCs w:val="24"/>
                <w:bdr w:val="nil"/>
              </w:rPr>
              <w:t>skaičius – 12 etatų ekvivalentas.</w:t>
            </w:r>
          </w:p>
          <w:p w:rsidR="00516667" w:rsidRDefault="00516667">
            <w:pPr>
              <w:rPr>
                <w:rFonts w:eastAsia="Arial Unicode MS"/>
                <w:color w:val="000000"/>
                <w:szCs w:val="24"/>
                <w:bdr w:val="nil"/>
              </w:rPr>
            </w:pPr>
          </w:p>
          <w:p w:rsidR="00516667" w:rsidRDefault="00256143">
            <w:pPr>
              <w:rPr>
                <w:szCs w:val="24"/>
              </w:rPr>
            </w:pPr>
            <w:r>
              <w:rPr>
                <w:szCs w:val="24"/>
              </w:rPr>
              <w:t>Rezultato:</w:t>
            </w:r>
          </w:p>
          <w:p w:rsidR="00516667" w:rsidRDefault="00256143">
            <w:pPr>
              <w:rPr>
                <w:szCs w:val="24"/>
              </w:rPr>
            </w:pPr>
            <w:r>
              <w:rPr>
                <w:szCs w:val="24"/>
              </w:rPr>
              <w:t>Eksportuojamų siuntų į Jungtinę Karalystę skaičius – 14 000 vnt.</w:t>
            </w:r>
          </w:p>
        </w:tc>
        <w:tc>
          <w:tcPr>
            <w:tcW w:w="510" w:type="pct"/>
          </w:tcPr>
          <w:p w:rsidR="00516667" w:rsidRDefault="00256143">
            <w:pPr>
              <w:jc w:val="center"/>
              <w:rPr>
                <w:szCs w:val="24"/>
                <w:lang w:eastAsia="lt-LT"/>
              </w:rPr>
            </w:pPr>
            <w:r>
              <w:rPr>
                <w:szCs w:val="24"/>
              </w:rPr>
              <w:lastRenderedPageBreak/>
              <w:t>2022-07-04</w:t>
            </w:r>
          </w:p>
        </w:tc>
        <w:tc>
          <w:tcPr>
            <w:tcW w:w="464" w:type="pct"/>
          </w:tcPr>
          <w:p w:rsidR="00516667" w:rsidRDefault="00256143">
            <w:pPr>
              <w:rPr>
                <w:szCs w:val="24"/>
                <w:lang w:eastAsia="lt-LT"/>
              </w:rPr>
            </w:pPr>
            <w:r>
              <w:rPr>
                <w:szCs w:val="24"/>
              </w:rPr>
              <w:t>Netaikoma</w:t>
            </w:r>
          </w:p>
        </w:tc>
      </w:tr>
      <w:tr w:rsidR="00516667" w:rsidTr="00256143">
        <w:tc>
          <w:tcPr>
            <w:tcW w:w="182" w:type="pct"/>
            <w:shd w:val="clear" w:color="auto" w:fill="auto"/>
          </w:tcPr>
          <w:p w:rsidR="00516667" w:rsidRDefault="00256143">
            <w:pPr>
              <w:jc w:val="center"/>
              <w:rPr>
                <w:szCs w:val="24"/>
                <w:lang w:eastAsia="lt-LT"/>
              </w:rPr>
            </w:pPr>
            <w:r>
              <w:rPr>
                <w:szCs w:val="24"/>
              </w:rPr>
              <w:t>5.</w:t>
            </w:r>
          </w:p>
        </w:tc>
        <w:tc>
          <w:tcPr>
            <w:tcW w:w="642" w:type="pct"/>
          </w:tcPr>
          <w:p w:rsidR="00516667" w:rsidRDefault="00256143">
            <w:pPr>
              <w:rPr>
                <w:color w:val="000000"/>
                <w:szCs w:val="24"/>
                <w:lang w:eastAsia="lt-LT"/>
              </w:rPr>
            </w:pPr>
            <w:r>
              <w:rPr>
                <w:color w:val="000000"/>
                <w:szCs w:val="24"/>
              </w:rPr>
              <w:t>Valstybinė vaistų kontrolės tarnyba prie Lietuvos Respublikos sveikatos apsaugos ministerijos</w:t>
            </w:r>
          </w:p>
        </w:tc>
        <w:tc>
          <w:tcPr>
            <w:tcW w:w="742" w:type="pct"/>
          </w:tcPr>
          <w:p w:rsidR="00516667" w:rsidRDefault="00256143">
            <w:pPr>
              <w:rPr>
                <w:szCs w:val="24"/>
                <w:lang w:eastAsia="lt-LT"/>
              </w:rPr>
            </w:pPr>
            <w:r>
              <w:rPr>
                <w:szCs w:val="24"/>
              </w:rPr>
              <w:t xml:space="preserve">Vaistinių preparatų pritraukimas į Lietuvos rinką, tobulinant vaistinių preparatų registravimo ir </w:t>
            </w:r>
            <w:proofErr w:type="spellStart"/>
            <w:r>
              <w:rPr>
                <w:szCs w:val="24"/>
              </w:rPr>
              <w:t>poregistracinius</w:t>
            </w:r>
            <w:proofErr w:type="spellEnd"/>
            <w:r>
              <w:rPr>
                <w:szCs w:val="24"/>
              </w:rPr>
              <w:t xml:space="preserve"> procesus</w:t>
            </w:r>
          </w:p>
        </w:tc>
        <w:tc>
          <w:tcPr>
            <w:tcW w:w="557" w:type="pct"/>
          </w:tcPr>
          <w:p w:rsidR="00516667" w:rsidRDefault="00256143">
            <w:pPr>
              <w:jc w:val="right"/>
              <w:rPr>
                <w:szCs w:val="24"/>
                <w:lang w:eastAsia="lt-LT"/>
              </w:rPr>
            </w:pPr>
            <w:r>
              <w:rPr>
                <w:szCs w:val="24"/>
              </w:rPr>
              <w:t>936 520</w:t>
            </w:r>
          </w:p>
        </w:tc>
        <w:tc>
          <w:tcPr>
            <w:tcW w:w="557" w:type="pct"/>
          </w:tcPr>
          <w:p w:rsidR="00516667" w:rsidRDefault="00256143">
            <w:pPr>
              <w:jc w:val="right"/>
              <w:rPr>
                <w:szCs w:val="24"/>
                <w:lang w:eastAsia="lt-LT"/>
              </w:rPr>
            </w:pPr>
            <w:r>
              <w:rPr>
                <w:szCs w:val="24"/>
              </w:rPr>
              <w:t>936 520</w:t>
            </w:r>
          </w:p>
        </w:tc>
        <w:tc>
          <w:tcPr>
            <w:tcW w:w="557" w:type="pct"/>
          </w:tcPr>
          <w:p w:rsidR="00516667" w:rsidRDefault="00256143">
            <w:pPr>
              <w:jc w:val="right"/>
              <w:rPr>
                <w:szCs w:val="24"/>
                <w:lang w:eastAsia="lt-LT"/>
              </w:rPr>
            </w:pPr>
            <w:r>
              <w:rPr>
                <w:szCs w:val="24"/>
              </w:rPr>
              <w:t>3 276</w:t>
            </w:r>
          </w:p>
        </w:tc>
        <w:tc>
          <w:tcPr>
            <w:tcW w:w="789" w:type="pct"/>
          </w:tcPr>
          <w:p w:rsidR="00516667" w:rsidRDefault="00256143">
            <w:pPr>
              <w:rPr>
                <w:rFonts w:eastAsia="Arial Unicode MS"/>
                <w:color w:val="000000"/>
                <w:szCs w:val="24"/>
                <w:bdr w:val="nil"/>
              </w:rPr>
            </w:pPr>
            <w:r>
              <w:rPr>
                <w:szCs w:val="24"/>
              </w:rPr>
              <w:t xml:space="preserve">Produkto: </w:t>
            </w:r>
            <w:r>
              <w:rPr>
                <w:szCs w:val="24"/>
              </w:rPr>
              <w:br/>
            </w:r>
            <w:r>
              <w:rPr>
                <w:rFonts w:eastAsia="Arial Unicode MS"/>
                <w:color w:val="000000"/>
                <w:szCs w:val="24"/>
                <w:bdr w:val="nil"/>
              </w:rPr>
              <w:t>Įmon</w:t>
            </w:r>
            <w:r>
              <w:rPr>
                <w:rFonts w:eastAsia="Arial Unicode MS"/>
                <w:bCs/>
                <w:color w:val="000000"/>
                <w:szCs w:val="24"/>
                <w:bdr w:val="nil"/>
              </w:rPr>
              <w:t>ių</w:t>
            </w:r>
            <w:r>
              <w:rPr>
                <w:rFonts w:eastAsia="Arial Unicode MS"/>
                <w:color w:val="000000"/>
                <w:szCs w:val="24"/>
                <w:bdr w:val="nil"/>
              </w:rPr>
              <w:t>, kurioms suteikta konsultacinė parama, skaičius – 15 įmonių; papildom</w:t>
            </w:r>
            <w:r>
              <w:rPr>
                <w:rFonts w:eastAsia="Arial Unicode MS"/>
                <w:bCs/>
                <w:color w:val="000000"/>
                <w:szCs w:val="24"/>
                <w:bdr w:val="nil"/>
              </w:rPr>
              <w:t>ų</w:t>
            </w:r>
            <w:r>
              <w:rPr>
                <w:rFonts w:eastAsia="Arial Unicode MS"/>
                <w:color w:val="000000"/>
                <w:szCs w:val="24"/>
                <w:bdr w:val="nil"/>
              </w:rPr>
              <w:t xml:space="preserve"> darbuotoj</w:t>
            </w:r>
            <w:r>
              <w:rPr>
                <w:rFonts w:eastAsia="Arial Unicode MS"/>
                <w:bCs/>
                <w:color w:val="000000"/>
                <w:szCs w:val="24"/>
                <w:bdr w:val="nil"/>
              </w:rPr>
              <w:t>ų</w:t>
            </w:r>
            <w:r>
              <w:rPr>
                <w:rFonts w:eastAsia="Arial Unicode MS"/>
                <w:color w:val="000000"/>
                <w:szCs w:val="24"/>
                <w:bdr w:val="nil"/>
              </w:rPr>
              <w:t xml:space="preserve"> </w:t>
            </w:r>
            <w:r>
              <w:rPr>
                <w:rFonts w:eastAsia="Arial Unicode MS"/>
                <w:bCs/>
                <w:color w:val="000000"/>
                <w:szCs w:val="24"/>
                <w:bdr w:val="nil"/>
              </w:rPr>
              <w:t>skaičius – 2 etatų ekvivalentas.</w:t>
            </w:r>
          </w:p>
          <w:p w:rsidR="00516667" w:rsidRDefault="00516667">
            <w:pPr>
              <w:rPr>
                <w:rFonts w:eastAsia="Arial Unicode MS"/>
                <w:color w:val="000000"/>
                <w:szCs w:val="24"/>
                <w:bdr w:val="nil"/>
              </w:rPr>
            </w:pPr>
          </w:p>
          <w:p w:rsidR="00516667" w:rsidRDefault="00256143">
            <w:pPr>
              <w:rPr>
                <w:rFonts w:eastAsia="Arial Unicode MS"/>
                <w:color w:val="000000"/>
                <w:szCs w:val="24"/>
                <w:bdr w:val="nil"/>
              </w:rPr>
            </w:pPr>
            <w:r>
              <w:rPr>
                <w:rFonts w:eastAsia="Arial Unicode MS"/>
                <w:color w:val="000000"/>
                <w:szCs w:val="24"/>
                <w:bdr w:val="nil"/>
              </w:rPr>
              <w:t>Rezultato:</w:t>
            </w:r>
          </w:p>
          <w:p w:rsidR="00516667" w:rsidRDefault="00256143">
            <w:pPr>
              <w:rPr>
                <w:szCs w:val="24"/>
                <w:lang w:eastAsia="lt-LT"/>
              </w:rPr>
            </w:pPr>
            <w:r>
              <w:rPr>
                <w:szCs w:val="24"/>
              </w:rPr>
              <w:t>Priimtų vaistinių preparatų paraiškų registruoti, perregistruoti, pakeisti registracijos pažymėjimo sąlygas skaičiaus padidėjimas (vidutiniškai per metus) – 5,9 proc.</w:t>
            </w:r>
          </w:p>
        </w:tc>
        <w:tc>
          <w:tcPr>
            <w:tcW w:w="510" w:type="pct"/>
          </w:tcPr>
          <w:p w:rsidR="00516667" w:rsidRDefault="00256143">
            <w:pPr>
              <w:jc w:val="center"/>
              <w:rPr>
                <w:szCs w:val="24"/>
                <w:lang w:eastAsia="lt-LT"/>
              </w:rPr>
            </w:pPr>
            <w:r>
              <w:rPr>
                <w:szCs w:val="24"/>
              </w:rPr>
              <w:t>2022-07-04</w:t>
            </w:r>
          </w:p>
        </w:tc>
        <w:tc>
          <w:tcPr>
            <w:tcW w:w="464" w:type="pct"/>
          </w:tcPr>
          <w:p w:rsidR="00516667" w:rsidRDefault="00256143">
            <w:pPr>
              <w:rPr>
                <w:szCs w:val="24"/>
                <w:lang w:eastAsia="lt-LT"/>
              </w:rPr>
            </w:pPr>
            <w:r>
              <w:rPr>
                <w:szCs w:val="24"/>
              </w:rPr>
              <w:t>Netaikoma</w:t>
            </w:r>
          </w:p>
        </w:tc>
      </w:tr>
      <w:tr w:rsidR="00516667" w:rsidTr="00256143">
        <w:tc>
          <w:tcPr>
            <w:tcW w:w="182" w:type="pct"/>
            <w:shd w:val="clear" w:color="auto" w:fill="auto"/>
          </w:tcPr>
          <w:p w:rsidR="00516667" w:rsidRDefault="00256143">
            <w:pPr>
              <w:jc w:val="center"/>
              <w:rPr>
                <w:szCs w:val="24"/>
                <w:lang w:eastAsia="lt-LT"/>
              </w:rPr>
            </w:pPr>
            <w:r>
              <w:rPr>
                <w:szCs w:val="24"/>
              </w:rPr>
              <w:t>6.</w:t>
            </w:r>
          </w:p>
        </w:tc>
        <w:tc>
          <w:tcPr>
            <w:tcW w:w="642" w:type="pct"/>
          </w:tcPr>
          <w:p w:rsidR="00516667" w:rsidRDefault="00256143">
            <w:pPr>
              <w:rPr>
                <w:color w:val="000000"/>
                <w:szCs w:val="24"/>
                <w:lang w:eastAsia="lt-LT"/>
              </w:rPr>
            </w:pPr>
            <w:r>
              <w:rPr>
                <w:color w:val="000000"/>
                <w:szCs w:val="24"/>
              </w:rPr>
              <w:t>Lietuvos Respublikos užsienio reikalų ministerija</w:t>
            </w:r>
          </w:p>
        </w:tc>
        <w:tc>
          <w:tcPr>
            <w:tcW w:w="742" w:type="pct"/>
          </w:tcPr>
          <w:p w:rsidR="00516667" w:rsidRDefault="00256143">
            <w:pPr>
              <w:rPr>
                <w:szCs w:val="24"/>
                <w:lang w:eastAsia="lt-LT"/>
              </w:rPr>
            </w:pPr>
            <w:r>
              <w:rPr>
                <w:szCs w:val="24"/>
              </w:rPr>
              <w:t xml:space="preserve">Pasų centrų Jungtinėje Karalystėje įsteigimas ir jų </w:t>
            </w:r>
            <w:r>
              <w:rPr>
                <w:szCs w:val="24"/>
              </w:rPr>
              <w:lastRenderedPageBreak/>
              <w:t xml:space="preserve">veiklos tęstinumo </w:t>
            </w:r>
            <w:r>
              <w:rPr>
                <w:color w:val="000000"/>
                <w:szCs w:val="24"/>
              </w:rPr>
              <w:t>užtikrinimas</w:t>
            </w:r>
          </w:p>
        </w:tc>
        <w:tc>
          <w:tcPr>
            <w:tcW w:w="557" w:type="pct"/>
          </w:tcPr>
          <w:p w:rsidR="00516667" w:rsidRDefault="00256143">
            <w:pPr>
              <w:jc w:val="right"/>
              <w:rPr>
                <w:szCs w:val="24"/>
                <w:lang w:eastAsia="lt-LT"/>
              </w:rPr>
            </w:pPr>
            <w:r>
              <w:rPr>
                <w:szCs w:val="24"/>
              </w:rPr>
              <w:lastRenderedPageBreak/>
              <w:t>483 245,68</w:t>
            </w:r>
          </w:p>
        </w:tc>
        <w:tc>
          <w:tcPr>
            <w:tcW w:w="557" w:type="pct"/>
          </w:tcPr>
          <w:p w:rsidR="00516667" w:rsidRDefault="00256143">
            <w:pPr>
              <w:jc w:val="right"/>
              <w:rPr>
                <w:szCs w:val="24"/>
                <w:lang w:eastAsia="lt-LT"/>
              </w:rPr>
            </w:pPr>
            <w:r>
              <w:rPr>
                <w:szCs w:val="24"/>
              </w:rPr>
              <w:t>483 245,68</w:t>
            </w:r>
          </w:p>
        </w:tc>
        <w:tc>
          <w:tcPr>
            <w:tcW w:w="557" w:type="pct"/>
          </w:tcPr>
          <w:p w:rsidR="00516667" w:rsidRDefault="00256143">
            <w:pPr>
              <w:jc w:val="right"/>
              <w:rPr>
                <w:szCs w:val="24"/>
                <w:lang w:eastAsia="lt-LT"/>
              </w:rPr>
            </w:pPr>
            <w:r>
              <w:rPr>
                <w:szCs w:val="24"/>
              </w:rPr>
              <w:t>3 000</w:t>
            </w:r>
          </w:p>
        </w:tc>
        <w:tc>
          <w:tcPr>
            <w:tcW w:w="789" w:type="pct"/>
          </w:tcPr>
          <w:p w:rsidR="00516667" w:rsidRDefault="00256143">
            <w:pPr>
              <w:rPr>
                <w:szCs w:val="24"/>
                <w:lang w:eastAsia="lt-LT"/>
              </w:rPr>
            </w:pPr>
            <w:r>
              <w:rPr>
                <w:szCs w:val="24"/>
              </w:rPr>
              <w:t xml:space="preserve">Produkto: </w:t>
            </w:r>
            <w:r>
              <w:rPr>
                <w:szCs w:val="24"/>
              </w:rPr>
              <w:br/>
            </w:r>
            <w:r>
              <w:rPr>
                <w:rFonts w:eastAsia="Arial Unicode MS"/>
                <w:color w:val="000000"/>
                <w:szCs w:val="24"/>
                <w:bdr w:val="nil"/>
              </w:rPr>
              <w:t>Papildom</w:t>
            </w:r>
            <w:r>
              <w:rPr>
                <w:rFonts w:eastAsia="Arial Unicode MS"/>
                <w:bCs/>
                <w:color w:val="000000"/>
                <w:szCs w:val="24"/>
                <w:bdr w:val="nil"/>
              </w:rPr>
              <w:t>ų</w:t>
            </w:r>
            <w:r>
              <w:rPr>
                <w:rFonts w:eastAsia="Arial Unicode MS"/>
                <w:color w:val="000000"/>
                <w:szCs w:val="24"/>
                <w:bdr w:val="nil"/>
              </w:rPr>
              <w:t xml:space="preserve"> darbuotoj</w:t>
            </w:r>
            <w:r>
              <w:rPr>
                <w:rFonts w:eastAsia="Arial Unicode MS"/>
                <w:bCs/>
                <w:color w:val="000000"/>
                <w:szCs w:val="24"/>
                <w:bdr w:val="nil"/>
              </w:rPr>
              <w:t>ų</w:t>
            </w:r>
            <w:r>
              <w:rPr>
                <w:rFonts w:eastAsia="Arial Unicode MS"/>
                <w:color w:val="000000"/>
                <w:szCs w:val="24"/>
                <w:bdr w:val="nil"/>
              </w:rPr>
              <w:t xml:space="preserve"> </w:t>
            </w:r>
            <w:r>
              <w:rPr>
                <w:rFonts w:eastAsia="Arial Unicode MS"/>
                <w:bCs/>
                <w:color w:val="000000"/>
                <w:szCs w:val="24"/>
                <w:bdr w:val="nil"/>
              </w:rPr>
              <w:t xml:space="preserve">skaičius (4 etatų </w:t>
            </w:r>
            <w:r>
              <w:rPr>
                <w:rFonts w:eastAsia="Arial Unicode MS"/>
                <w:bCs/>
                <w:color w:val="000000"/>
                <w:szCs w:val="24"/>
                <w:bdr w:val="nil"/>
              </w:rPr>
              <w:lastRenderedPageBreak/>
              <w:t>ekvivalentas).</w:t>
            </w:r>
            <w:r>
              <w:rPr>
                <w:szCs w:val="24"/>
              </w:rPr>
              <w:br/>
            </w:r>
          </w:p>
          <w:p w:rsidR="00516667" w:rsidRDefault="00256143">
            <w:pPr>
              <w:rPr>
                <w:szCs w:val="24"/>
              </w:rPr>
            </w:pPr>
            <w:r>
              <w:rPr>
                <w:szCs w:val="24"/>
              </w:rPr>
              <w:t>Rezultato:</w:t>
            </w:r>
            <w:r>
              <w:rPr>
                <w:szCs w:val="24"/>
              </w:rPr>
              <w:br/>
              <w:t xml:space="preserve">Priimtų prašymų dėl asmens tapatybės dokumentų išdavimo ar pakeitimo Jungtinėje Karalystėje skaičius </w:t>
            </w:r>
          </w:p>
          <w:p w:rsidR="00516667" w:rsidRDefault="00256143">
            <w:pPr>
              <w:rPr>
                <w:szCs w:val="24"/>
                <w:lang w:eastAsia="lt-LT"/>
              </w:rPr>
            </w:pPr>
            <w:r>
              <w:rPr>
                <w:szCs w:val="24"/>
              </w:rPr>
              <w:t>(vidutiniškai prašymų per metus) – 21 500 vnt.</w:t>
            </w:r>
          </w:p>
        </w:tc>
        <w:tc>
          <w:tcPr>
            <w:tcW w:w="510" w:type="pct"/>
          </w:tcPr>
          <w:p w:rsidR="00516667" w:rsidRDefault="00256143">
            <w:pPr>
              <w:jc w:val="center"/>
              <w:rPr>
                <w:szCs w:val="24"/>
                <w:lang w:eastAsia="lt-LT"/>
              </w:rPr>
            </w:pPr>
            <w:r>
              <w:rPr>
                <w:szCs w:val="24"/>
              </w:rPr>
              <w:lastRenderedPageBreak/>
              <w:t>2022-07-04</w:t>
            </w:r>
          </w:p>
        </w:tc>
        <w:tc>
          <w:tcPr>
            <w:tcW w:w="464" w:type="pct"/>
          </w:tcPr>
          <w:p w:rsidR="00516667" w:rsidRDefault="00256143">
            <w:pPr>
              <w:rPr>
                <w:szCs w:val="24"/>
                <w:lang w:eastAsia="lt-LT"/>
              </w:rPr>
            </w:pPr>
            <w:r>
              <w:rPr>
                <w:szCs w:val="24"/>
              </w:rPr>
              <w:t>Netaikoma</w:t>
            </w:r>
          </w:p>
        </w:tc>
      </w:tr>
      <w:tr w:rsidR="00516667" w:rsidTr="00256143">
        <w:tc>
          <w:tcPr>
            <w:tcW w:w="182" w:type="pct"/>
            <w:shd w:val="clear" w:color="auto" w:fill="auto"/>
          </w:tcPr>
          <w:p w:rsidR="00516667" w:rsidRDefault="00256143">
            <w:pPr>
              <w:jc w:val="center"/>
              <w:rPr>
                <w:szCs w:val="24"/>
                <w:lang w:eastAsia="lt-LT"/>
              </w:rPr>
            </w:pPr>
            <w:r>
              <w:rPr>
                <w:szCs w:val="24"/>
              </w:rPr>
              <w:t>7.</w:t>
            </w:r>
          </w:p>
        </w:tc>
        <w:tc>
          <w:tcPr>
            <w:tcW w:w="642" w:type="pct"/>
          </w:tcPr>
          <w:p w:rsidR="00516667" w:rsidRDefault="00256143">
            <w:pPr>
              <w:rPr>
                <w:color w:val="000000"/>
                <w:szCs w:val="24"/>
                <w:lang w:eastAsia="lt-LT"/>
              </w:rPr>
            </w:pPr>
            <w:r>
              <w:rPr>
                <w:color w:val="000000"/>
                <w:szCs w:val="24"/>
              </w:rPr>
              <w:t>Policijos departamentas prie Lietuvos Respublikos vidaus reikalų ministerijos</w:t>
            </w:r>
          </w:p>
        </w:tc>
        <w:tc>
          <w:tcPr>
            <w:tcW w:w="742" w:type="pct"/>
          </w:tcPr>
          <w:p w:rsidR="00516667" w:rsidRDefault="00256143">
            <w:pPr>
              <w:rPr>
                <w:szCs w:val="24"/>
                <w:lang w:eastAsia="lt-LT"/>
              </w:rPr>
            </w:pPr>
            <w:r>
              <w:rPr>
                <w:szCs w:val="24"/>
              </w:rPr>
              <w:t xml:space="preserve">Specialiojo policijos atašė </w:t>
            </w:r>
            <w:r>
              <w:rPr>
                <w:color w:val="000000"/>
                <w:szCs w:val="24"/>
              </w:rPr>
              <w:t xml:space="preserve">Jungtinėje Karalystėje pareigybės funkcijų </w:t>
            </w:r>
            <w:r>
              <w:rPr>
                <w:szCs w:val="24"/>
              </w:rPr>
              <w:t xml:space="preserve">veiksmingumo užtikrinimas </w:t>
            </w:r>
          </w:p>
        </w:tc>
        <w:tc>
          <w:tcPr>
            <w:tcW w:w="557" w:type="pct"/>
          </w:tcPr>
          <w:p w:rsidR="00516667" w:rsidRDefault="00256143">
            <w:pPr>
              <w:jc w:val="right"/>
              <w:rPr>
                <w:szCs w:val="24"/>
                <w:lang w:eastAsia="lt-LT"/>
              </w:rPr>
            </w:pPr>
            <w:r>
              <w:rPr>
                <w:szCs w:val="24"/>
              </w:rPr>
              <w:t>508 536,37</w:t>
            </w:r>
          </w:p>
        </w:tc>
        <w:tc>
          <w:tcPr>
            <w:tcW w:w="557" w:type="pct"/>
          </w:tcPr>
          <w:p w:rsidR="00516667" w:rsidRDefault="00256143">
            <w:pPr>
              <w:jc w:val="right"/>
              <w:rPr>
                <w:szCs w:val="24"/>
                <w:lang w:eastAsia="lt-LT"/>
              </w:rPr>
            </w:pPr>
            <w:r>
              <w:rPr>
                <w:szCs w:val="24"/>
              </w:rPr>
              <w:t>508 536,37</w:t>
            </w:r>
          </w:p>
        </w:tc>
        <w:tc>
          <w:tcPr>
            <w:tcW w:w="557" w:type="pct"/>
          </w:tcPr>
          <w:p w:rsidR="00516667" w:rsidRDefault="00256143">
            <w:pPr>
              <w:jc w:val="right"/>
              <w:rPr>
                <w:szCs w:val="24"/>
                <w:lang w:eastAsia="lt-LT"/>
              </w:rPr>
            </w:pPr>
            <w:r>
              <w:rPr>
                <w:szCs w:val="24"/>
              </w:rPr>
              <w:t>0</w:t>
            </w:r>
          </w:p>
        </w:tc>
        <w:tc>
          <w:tcPr>
            <w:tcW w:w="789" w:type="pct"/>
          </w:tcPr>
          <w:p w:rsidR="00516667" w:rsidRDefault="00256143">
            <w:pPr>
              <w:rPr>
                <w:rFonts w:eastAsia="Arial Unicode MS"/>
                <w:bCs/>
                <w:color w:val="000000"/>
                <w:szCs w:val="24"/>
                <w:bdr w:val="nil"/>
              </w:rPr>
            </w:pPr>
            <w:r>
              <w:rPr>
                <w:szCs w:val="24"/>
              </w:rPr>
              <w:t xml:space="preserve">Produkto: </w:t>
            </w:r>
            <w:r>
              <w:rPr>
                <w:szCs w:val="24"/>
              </w:rPr>
              <w:br/>
            </w:r>
            <w:r>
              <w:rPr>
                <w:rFonts w:eastAsia="Arial Unicode MS"/>
                <w:color w:val="000000"/>
                <w:szCs w:val="24"/>
                <w:bdr w:val="nil"/>
              </w:rPr>
              <w:t>Papildom</w:t>
            </w:r>
            <w:r>
              <w:rPr>
                <w:rFonts w:eastAsia="Arial Unicode MS"/>
                <w:bCs/>
                <w:color w:val="000000"/>
                <w:szCs w:val="24"/>
                <w:bdr w:val="nil"/>
              </w:rPr>
              <w:t>ų</w:t>
            </w:r>
            <w:r>
              <w:rPr>
                <w:rFonts w:eastAsia="Arial Unicode MS"/>
                <w:color w:val="000000"/>
                <w:szCs w:val="24"/>
                <w:bdr w:val="nil"/>
              </w:rPr>
              <w:t xml:space="preserve"> darbuotoj</w:t>
            </w:r>
            <w:r>
              <w:rPr>
                <w:rFonts w:eastAsia="Arial Unicode MS"/>
                <w:bCs/>
                <w:color w:val="000000"/>
                <w:szCs w:val="24"/>
                <w:bdr w:val="nil"/>
              </w:rPr>
              <w:t>ų</w:t>
            </w:r>
            <w:r>
              <w:rPr>
                <w:rFonts w:eastAsia="Arial Unicode MS"/>
                <w:color w:val="000000"/>
                <w:szCs w:val="24"/>
                <w:bdr w:val="nil"/>
              </w:rPr>
              <w:t xml:space="preserve"> </w:t>
            </w:r>
            <w:r>
              <w:rPr>
                <w:rFonts w:eastAsia="Arial Unicode MS"/>
                <w:bCs/>
                <w:color w:val="000000"/>
                <w:szCs w:val="24"/>
                <w:bdr w:val="nil"/>
              </w:rPr>
              <w:t>skaičius (1 etato ekvivalentas).</w:t>
            </w:r>
          </w:p>
          <w:p w:rsidR="00516667" w:rsidRDefault="00516667">
            <w:pPr>
              <w:rPr>
                <w:rFonts w:eastAsia="Arial Unicode MS"/>
                <w:bCs/>
                <w:color w:val="000000"/>
                <w:szCs w:val="24"/>
                <w:bdr w:val="nil"/>
              </w:rPr>
            </w:pPr>
          </w:p>
          <w:p w:rsidR="00516667" w:rsidRDefault="00256143">
            <w:pPr>
              <w:rPr>
                <w:rFonts w:eastAsia="Arial Unicode MS"/>
                <w:bCs/>
                <w:color w:val="000000"/>
                <w:szCs w:val="24"/>
                <w:bdr w:val="nil"/>
              </w:rPr>
            </w:pPr>
            <w:r>
              <w:rPr>
                <w:rFonts w:eastAsia="Arial Unicode MS"/>
                <w:bCs/>
                <w:color w:val="000000"/>
                <w:szCs w:val="24"/>
                <w:bdr w:val="nil"/>
              </w:rPr>
              <w:t>Rezultato:</w:t>
            </w:r>
          </w:p>
          <w:p w:rsidR="00516667" w:rsidRDefault="00256143">
            <w:pPr>
              <w:rPr>
                <w:szCs w:val="24"/>
                <w:lang w:eastAsia="lt-LT"/>
              </w:rPr>
            </w:pPr>
            <w:r>
              <w:rPr>
                <w:szCs w:val="24"/>
              </w:rPr>
              <w:t>Apsikeitimo informacija su Jungtinės Karalystės teisėsaugos institucijomis užklausų (bylų) skaičius (vidutiniškai užklausų (bylų) per metus) – 200 vnt.</w:t>
            </w:r>
          </w:p>
        </w:tc>
        <w:tc>
          <w:tcPr>
            <w:tcW w:w="510" w:type="pct"/>
          </w:tcPr>
          <w:p w:rsidR="00516667" w:rsidRDefault="00256143">
            <w:pPr>
              <w:jc w:val="center"/>
              <w:rPr>
                <w:szCs w:val="24"/>
                <w:lang w:eastAsia="lt-LT"/>
              </w:rPr>
            </w:pPr>
            <w:r>
              <w:rPr>
                <w:szCs w:val="24"/>
              </w:rPr>
              <w:t>2022-07-04</w:t>
            </w:r>
          </w:p>
        </w:tc>
        <w:tc>
          <w:tcPr>
            <w:tcW w:w="464" w:type="pct"/>
          </w:tcPr>
          <w:p w:rsidR="00516667" w:rsidRDefault="00256143">
            <w:pPr>
              <w:rPr>
                <w:szCs w:val="24"/>
                <w:lang w:eastAsia="lt-LT"/>
              </w:rPr>
            </w:pPr>
            <w:r>
              <w:rPr>
                <w:szCs w:val="24"/>
              </w:rPr>
              <w:t>Netaikoma</w:t>
            </w:r>
          </w:p>
        </w:tc>
      </w:tr>
    </w:tbl>
    <w:p w:rsidR="00516667" w:rsidRDefault="00516667">
      <w:pPr>
        <w:rPr>
          <w:sz w:val="22"/>
          <w:szCs w:val="22"/>
          <w:lang w:eastAsia="lt-LT"/>
        </w:rPr>
      </w:pPr>
    </w:p>
    <w:p w:rsidR="00516667" w:rsidRDefault="00256143">
      <w:pPr>
        <w:jc w:val="center"/>
        <w:rPr>
          <w:szCs w:val="24"/>
          <w:lang w:eastAsia="lt-LT"/>
        </w:rPr>
      </w:pPr>
      <w:r>
        <w:rPr>
          <w:szCs w:val="24"/>
          <w:lang w:eastAsia="lt-LT"/>
        </w:rPr>
        <w:t>__________________________</w:t>
      </w:r>
    </w:p>
    <w:p w:rsidR="00516667" w:rsidRDefault="00516667">
      <w:pPr>
        <w:rPr>
          <w:szCs w:val="24"/>
          <w:lang w:eastAsia="lt-LT"/>
        </w:rPr>
      </w:pPr>
    </w:p>
    <w:p w:rsidR="00516667" w:rsidRDefault="00516667">
      <w:pPr>
        <w:rPr>
          <w:szCs w:val="24"/>
          <w:lang w:eastAsia="lt-LT"/>
        </w:rPr>
      </w:pPr>
    </w:p>
    <w:sectPr w:rsidR="00516667">
      <w:pgSz w:w="16838" w:h="11906" w:orient="landscape" w:code="9"/>
      <w:pgMar w:top="1701" w:right="992" w:bottom="567" w:left="992" w:header="561" w:footer="686" w:gutter="0"/>
      <w:pgNumType w:start="1"/>
      <w:cols w:space="1296"/>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2424" w:rsidRDefault="00EC2424">
      <w:pPr>
        <w:rPr>
          <w:lang w:eastAsia="lt-LT"/>
        </w:rPr>
      </w:pPr>
      <w:r>
        <w:rPr>
          <w:lang w:eastAsia="lt-LT"/>
        </w:rPr>
        <w:separator/>
      </w:r>
    </w:p>
  </w:endnote>
  <w:endnote w:type="continuationSeparator" w:id="0">
    <w:p w:rsidR="00EC2424" w:rsidRDefault="00EC2424">
      <w:pPr>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6667" w:rsidRDefault="00516667">
    <w:pPr>
      <w:tabs>
        <w:tab w:val="center" w:pos="4153"/>
        <w:tab w:val="right" w:pos="8306"/>
      </w:tabs>
      <w:rPr>
        <w:lang w:eastAsia="lt-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6667" w:rsidRDefault="00516667">
    <w:pPr>
      <w:ind w:right="227"/>
      <w:jc w:val="right"/>
      <w:rPr>
        <w:lang w:eastAsia="lt-LT"/>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6667" w:rsidRDefault="00516667">
    <w:pPr>
      <w:tabs>
        <w:tab w:val="center" w:pos="4153"/>
        <w:tab w:val="right" w:pos="8306"/>
      </w:tabs>
      <w:rPr>
        <w:lang w:eastAsia="lt-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2424" w:rsidRDefault="00EC2424">
      <w:pPr>
        <w:rPr>
          <w:lang w:eastAsia="lt-LT"/>
        </w:rPr>
      </w:pPr>
      <w:r>
        <w:rPr>
          <w:lang w:eastAsia="lt-LT"/>
        </w:rPr>
        <w:separator/>
      </w:r>
    </w:p>
  </w:footnote>
  <w:footnote w:type="continuationSeparator" w:id="0">
    <w:p w:rsidR="00EC2424" w:rsidRDefault="00EC2424">
      <w:pPr>
        <w:rPr>
          <w:lang w:eastAsia="lt-LT"/>
        </w:rPr>
      </w:pPr>
      <w:r>
        <w:rPr>
          <w:lang w:eastAsia="lt-LT"/>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6667" w:rsidRDefault="00256143">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end"/>
    </w:r>
  </w:p>
  <w:p w:rsidR="00516667" w:rsidRDefault="00516667">
    <w:pPr>
      <w:tabs>
        <w:tab w:val="center" w:pos="4153"/>
        <w:tab w:val="right" w:pos="8306"/>
      </w:tabs>
      <w:rPr>
        <w:lang w:eastAsia="lt-LT"/>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6667" w:rsidRDefault="00256143">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separate"/>
    </w:r>
    <w:r w:rsidR="00846521">
      <w:rPr>
        <w:noProof/>
        <w:lang w:eastAsia="lt-LT"/>
      </w:rPr>
      <w:t>4</w:t>
    </w:r>
    <w:r>
      <w:rPr>
        <w:lang w:eastAsia="lt-LT"/>
      </w:rPr>
      <w:fldChar w:fldCharType="end"/>
    </w:r>
  </w:p>
  <w:p w:rsidR="00516667" w:rsidRDefault="00516667">
    <w:pPr>
      <w:tabs>
        <w:tab w:val="center" w:pos="4153"/>
        <w:tab w:val="right" w:pos="8306"/>
      </w:tabs>
      <w:rPr>
        <w:lang w:eastAsia="lt-LT"/>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6667" w:rsidRDefault="00516667">
    <w:pPr>
      <w:tabs>
        <w:tab w:val="center" w:pos="4153"/>
        <w:tab w:val="right" w:pos="8306"/>
      </w:tabs>
      <w:rPr>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5E9"/>
    <w:rsid w:val="00256143"/>
    <w:rsid w:val="00516667"/>
    <w:rsid w:val="005C6D4D"/>
    <w:rsid w:val="006835E9"/>
    <w:rsid w:val="00846521"/>
    <w:rsid w:val="009715FA"/>
    <w:rsid w:val="00B856EC"/>
    <w:rsid w:val="00EC2424"/>
  </w:rsids>
  <m:mathPr>
    <m:mathFont m:val="Cambria Math"/>
    <m:brkBin m:val="before"/>
    <m:brkBinSub m:val="--"/>
    <m:smallFrac m:val="0"/>
    <m:dispDef/>
    <m:lMargin m:val="0"/>
    <m:rMargin m:val="0"/>
    <m:defJc m:val="centerGroup"/>
    <m:wrapIndent m:val="1440"/>
    <m:intLim m:val="subSup"/>
    <m:naryLim m:val="undOvr"/>
  </m:mathPr>
  <w:themeFontLang w:val="lt-LT"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8F4ADDE-6DE1-4E37-B212-4DB1D7BBD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5C6D4D"/>
    <w:rPr>
      <w:rFonts w:ascii="Tahoma" w:hAnsi="Tahoma" w:cs="Tahoma"/>
      <w:sz w:val="16"/>
      <w:szCs w:val="16"/>
    </w:rPr>
  </w:style>
  <w:style w:type="character" w:customStyle="1" w:styleId="BalloonTextChar">
    <w:name w:val="Balloon Text Char"/>
    <w:basedOn w:val="DefaultParagraphFont"/>
    <w:link w:val="BalloonText"/>
    <w:semiHidden/>
    <w:rsid w:val="005C6D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46E7F2-1128-4920-9C9A-BFABDC299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3261</Words>
  <Characters>1860</Characters>
  <Application>Microsoft Office Word</Application>
  <DocSecurity>0</DocSecurity>
  <Lines>15</Lines>
  <Paragraphs>10</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FM</Company>
  <LinksUpToDate>false</LinksUpToDate>
  <CharactersWithSpaces>5111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Jurga Vieraitytė</dc:creator>
  <cp:lastModifiedBy>Viktor Jurkianec</cp:lastModifiedBy>
  <cp:revision>2</cp:revision>
  <cp:lastPrinted>2008-12-29T11:20:00Z</cp:lastPrinted>
  <dcterms:created xsi:type="dcterms:W3CDTF">2022-06-09T07:12:00Z</dcterms:created>
  <dcterms:modified xsi:type="dcterms:W3CDTF">2022-06-09T07:12:00Z</dcterms:modified>
</cp:coreProperties>
</file>