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C525" w14:textId="77777777" w:rsidR="00B433FA" w:rsidRPr="00B433FA" w:rsidRDefault="00B433FA" w:rsidP="00B433FA">
      <w:pPr>
        <w:pStyle w:val="Default"/>
        <w:rPr>
          <w:b/>
          <w:bCs/>
          <w:iCs/>
        </w:rPr>
      </w:pPr>
      <w:r w:rsidRPr="00B433FA">
        <w:rPr>
          <w:b/>
          <w:bCs/>
          <w:iCs/>
        </w:rPr>
        <w:t xml:space="preserve">Įgaliotųjų institucijų statuso suteikimą reglamentuoja </w:t>
      </w:r>
    </w:p>
    <w:p w14:paraId="77310543" w14:textId="77777777" w:rsidR="00B433FA" w:rsidRPr="00B433FA" w:rsidRDefault="00B433FA" w:rsidP="00B433FA">
      <w:pPr>
        <w:pStyle w:val="Default"/>
        <w:rPr>
          <w:b/>
          <w:bCs/>
          <w:iCs/>
        </w:rPr>
      </w:pPr>
      <w:r w:rsidRPr="00B433FA">
        <w:rPr>
          <w:b/>
          <w:bCs/>
          <w:iCs/>
        </w:rPr>
        <w:t xml:space="preserve">ES Dvynių vadovo </w:t>
      </w:r>
      <w:r>
        <w:rPr>
          <w:b/>
          <w:bCs/>
          <w:iCs/>
        </w:rPr>
        <w:t>4.1.4.2</w:t>
      </w:r>
      <w:r w:rsidRPr="00B433FA">
        <w:rPr>
          <w:b/>
          <w:bCs/>
          <w:iCs/>
        </w:rPr>
        <w:t xml:space="preserve"> straipsnis</w:t>
      </w:r>
    </w:p>
    <w:p w14:paraId="2EA3E00A" w14:textId="77777777" w:rsidR="00B433FA" w:rsidRDefault="00B433FA" w:rsidP="00B433FA">
      <w:pPr>
        <w:pStyle w:val="Default"/>
        <w:rPr>
          <w:b/>
          <w:bCs/>
          <w:i/>
          <w:iCs/>
        </w:rPr>
      </w:pPr>
    </w:p>
    <w:p w14:paraId="5FD6AD7B" w14:textId="2FF7D4A8" w:rsidR="00B433FA" w:rsidRDefault="00B433FA" w:rsidP="00B433FA">
      <w:pPr>
        <w:pStyle w:val="Default"/>
        <w:rPr>
          <w:b/>
          <w:bCs/>
          <w:i/>
          <w:iCs/>
        </w:rPr>
      </w:pPr>
      <w:r w:rsidRPr="00012AF0">
        <w:rPr>
          <w:b/>
          <w:bCs/>
          <w:i/>
          <w:iCs/>
        </w:rPr>
        <w:t xml:space="preserve">4.1.4.2 </w:t>
      </w:r>
      <w:r w:rsidR="004755B3">
        <w:rPr>
          <w:b/>
          <w:bCs/>
          <w:i/>
          <w:iCs/>
        </w:rPr>
        <w:t xml:space="preserve"> Vieš</w:t>
      </w:r>
      <w:r w:rsidR="00CD2E28">
        <w:rPr>
          <w:b/>
          <w:bCs/>
          <w:i/>
          <w:iCs/>
        </w:rPr>
        <w:t>ieji juridiniai asmenys</w:t>
      </w:r>
      <w:r w:rsidRPr="00012AF0">
        <w:rPr>
          <w:b/>
          <w:bCs/>
          <w:i/>
          <w:iCs/>
        </w:rPr>
        <w:t xml:space="preserve"> </w:t>
      </w:r>
      <w:r w:rsidR="006E2928">
        <w:rPr>
          <w:b/>
          <w:bCs/>
          <w:i/>
          <w:iCs/>
        </w:rPr>
        <w:t xml:space="preserve">ar </w:t>
      </w:r>
      <w:r w:rsidR="004755B3">
        <w:rPr>
          <w:b/>
          <w:bCs/>
          <w:i/>
          <w:iCs/>
        </w:rPr>
        <w:t>kitos organizacijos</w:t>
      </w:r>
    </w:p>
    <w:p w14:paraId="49CA3D52" w14:textId="77777777" w:rsidR="006E2928" w:rsidRPr="00012AF0" w:rsidRDefault="006E2928" w:rsidP="00B433FA">
      <w:pPr>
        <w:pStyle w:val="Default"/>
      </w:pPr>
    </w:p>
    <w:p w14:paraId="6E9F535E" w14:textId="0FA172CE" w:rsidR="00890FF9" w:rsidRDefault="00B433FA" w:rsidP="00B433FA">
      <w:pPr>
        <w:pStyle w:val="Default"/>
        <w:jc w:val="both"/>
      </w:pPr>
      <w:r>
        <w:t xml:space="preserve">Valstybė narė (toliau – VN) </w:t>
      </w:r>
      <w:r w:rsidR="002F0ED2">
        <w:t xml:space="preserve">kartais </w:t>
      </w:r>
      <w:r w:rsidR="007B3684">
        <w:t>perduo</w:t>
      </w:r>
      <w:r w:rsidR="002F0ED2">
        <w:t>da</w:t>
      </w:r>
      <w:r w:rsidR="007B3684">
        <w:t xml:space="preserve"> tam tikrų</w:t>
      </w:r>
      <w:r w:rsidRPr="001721E6">
        <w:t xml:space="preserve"> viešojo administravimo </w:t>
      </w:r>
      <w:r w:rsidR="007B3684">
        <w:t xml:space="preserve">funkcijų </w:t>
      </w:r>
      <w:r w:rsidR="002F0ED2">
        <w:t xml:space="preserve">arba jų dalies </w:t>
      </w:r>
      <w:r w:rsidR="007B3684" w:rsidRPr="007B3684">
        <w:t>vykdy</w:t>
      </w:r>
      <w:r w:rsidR="007B3684">
        <w:t>mą</w:t>
      </w:r>
      <w:r w:rsidR="007B3684" w:rsidRPr="007B3684">
        <w:t xml:space="preserve"> </w:t>
      </w:r>
      <w:r w:rsidR="00737871">
        <w:t xml:space="preserve"> vieš</w:t>
      </w:r>
      <w:r w:rsidR="00CD2E28">
        <w:t xml:space="preserve">iesiems juridiniams asmenims </w:t>
      </w:r>
      <w:r w:rsidR="004755B3">
        <w:t>ar</w:t>
      </w:r>
      <w:r w:rsidR="00737871">
        <w:t xml:space="preserve"> kitoms organizacijoms</w:t>
      </w:r>
      <w:r w:rsidRPr="001721E6">
        <w:t xml:space="preserve">. Todėl kartais </w:t>
      </w:r>
      <w:r w:rsidR="00FF30D5">
        <w:t>ekspertinė</w:t>
      </w:r>
      <w:r w:rsidRPr="001721E6">
        <w:t xml:space="preserve"> patirtis, reikaling</w:t>
      </w:r>
      <w:r w:rsidR="006E2928">
        <w:t>a</w:t>
      </w:r>
      <w:r w:rsidRPr="001721E6">
        <w:t xml:space="preserve"> Dvynių projektams įgyvendinti, </w:t>
      </w:r>
      <w:r w:rsidR="006E2928">
        <w:t>yra</w:t>
      </w:r>
      <w:r w:rsidR="006E2928" w:rsidRPr="001721E6">
        <w:t xml:space="preserve"> </w:t>
      </w:r>
      <w:r w:rsidRPr="001721E6">
        <w:t>ne viešojo administravimo sektoriuje</w:t>
      </w:r>
      <w:r>
        <w:t>.</w:t>
      </w:r>
    </w:p>
    <w:p w14:paraId="714E4285" w14:textId="77777777" w:rsidR="00B433FA" w:rsidRPr="00012AF0" w:rsidRDefault="00B433FA" w:rsidP="00B433FA">
      <w:pPr>
        <w:pStyle w:val="Default"/>
        <w:jc w:val="both"/>
      </w:pPr>
      <w:r w:rsidRPr="00012AF0">
        <w:t xml:space="preserve"> </w:t>
      </w:r>
    </w:p>
    <w:p w14:paraId="625ACE71" w14:textId="79FAB2E6" w:rsidR="00B433FA" w:rsidRDefault="00BD4A12" w:rsidP="00B433FA">
      <w:pPr>
        <w:pStyle w:val="Default"/>
        <w:jc w:val="both"/>
      </w:pPr>
      <w:r>
        <w:t>VN</w:t>
      </w:r>
      <w:r w:rsidR="00B433FA">
        <w:t xml:space="preserve"> gali siūlyti, kad </w:t>
      </w:r>
      <w:r w:rsidR="00737871" w:rsidRPr="00737871">
        <w:t>vieš</w:t>
      </w:r>
      <w:r w:rsidR="00CD2E28">
        <w:t>ieji juridiniai asmenys</w:t>
      </w:r>
      <w:r w:rsidR="00737871" w:rsidRPr="00737871">
        <w:t xml:space="preserve"> ir kitos</w:t>
      </w:r>
      <w:r w:rsidR="002F0ED2">
        <w:t xml:space="preserve"> organizacijos </w:t>
      </w:r>
      <w:r w:rsidR="00B433FA">
        <w:t xml:space="preserve"> gautų įgaliojimus įgyvendinti Dvynių projektus </w:t>
      </w:r>
      <w:r>
        <w:t>to</w:t>
      </w:r>
      <w:r w:rsidR="00616385">
        <w:t>kio</w:t>
      </w:r>
      <w:r>
        <w:t>mis sąlygomis</w:t>
      </w:r>
      <w:r w:rsidR="00B433FA">
        <w:t xml:space="preserve"> </w:t>
      </w:r>
      <w:r w:rsidR="00616385">
        <w:t>tarsi jos būtų viešojo administravimo institucijos sudedamoji dalis</w:t>
      </w:r>
      <w:r w:rsidR="00B433FA">
        <w:t>.</w:t>
      </w:r>
      <w:r w:rsidR="00B433FA" w:rsidRPr="00012AF0">
        <w:t xml:space="preserve"> </w:t>
      </w:r>
    </w:p>
    <w:p w14:paraId="50AEB511" w14:textId="77777777" w:rsidR="00890FF9" w:rsidRPr="00012AF0" w:rsidRDefault="00890FF9" w:rsidP="00B433FA">
      <w:pPr>
        <w:pStyle w:val="Default"/>
        <w:jc w:val="both"/>
      </w:pPr>
    </w:p>
    <w:p w14:paraId="59653C38" w14:textId="25601FC9" w:rsidR="00B433FA" w:rsidRDefault="00CD2E28" w:rsidP="00B433FA">
      <w:pPr>
        <w:pStyle w:val="Default"/>
        <w:jc w:val="both"/>
      </w:pPr>
      <w:r>
        <w:t>V</w:t>
      </w:r>
      <w:r w:rsidRPr="00CD2E28">
        <w:t>iešieji juridiniai asmenys</w:t>
      </w:r>
      <w:r w:rsidR="00616385">
        <w:t xml:space="preserve"> ir </w:t>
      </w:r>
      <w:r w:rsidRPr="00CD2E28">
        <w:t>kitos organizacijos</w:t>
      </w:r>
      <w:r w:rsidR="00B433FA">
        <w:t>, kuri</w:t>
      </w:r>
      <w:r w:rsidR="00737871">
        <w:t>os</w:t>
      </w:r>
      <w:r w:rsidR="00B433FA">
        <w:t xml:space="preserve"> pagal </w:t>
      </w:r>
      <w:r w:rsidR="00616385">
        <w:t>VN</w:t>
      </w:r>
      <w:r w:rsidR="00B433FA">
        <w:t xml:space="preserve"> įstatymus </w:t>
      </w:r>
      <w:r w:rsidR="00616385">
        <w:t xml:space="preserve">tiesiogiai </w:t>
      </w:r>
      <w:r w:rsidR="00B433FA">
        <w:t>nelaikom</w:t>
      </w:r>
      <w:r w:rsidR="002F0ED2">
        <w:t>os</w:t>
      </w:r>
      <w:r w:rsidR="00B433FA">
        <w:t xml:space="preserve"> vieš</w:t>
      </w:r>
      <w:r w:rsidR="00616385">
        <w:t>ojo</w:t>
      </w:r>
      <w:r w:rsidR="00B433FA">
        <w:t xml:space="preserve"> administra</w:t>
      </w:r>
      <w:r w:rsidR="00616385">
        <w:t>vimo sektoriaus</w:t>
      </w:r>
      <w:r w:rsidR="00B433FA">
        <w:t xml:space="preserve"> dalimi, gali prašyti būti pripažint</w:t>
      </w:r>
      <w:r w:rsidR="002F0ED2">
        <w:t>os</w:t>
      </w:r>
      <w:r w:rsidR="00B433FA">
        <w:t xml:space="preserve"> įgaliotosio</w:t>
      </w:r>
      <w:r w:rsidR="0045163C">
        <w:t>mi</w:t>
      </w:r>
      <w:r w:rsidR="00B433FA">
        <w:t>s institucijo</w:t>
      </w:r>
      <w:r w:rsidR="0045163C">
        <w:t>mi</w:t>
      </w:r>
      <w:r w:rsidR="00B433FA">
        <w:t>s, jeigu j</w:t>
      </w:r>
      <w:r w:rsidR="00737871">
        <w:t>os</w:t>
      </w:r>
      <w:r w:rsidR="00B433FA">
        <w:t xml:space="preserve"> atitinka toliau nurodytus kriterijus:</w:t>
      </w:r>
      <w:r w:rsidR="00B433FA" w:rsidRPr="00012AF0">
        <w:t xml:space="preserve"> </w:t>
      </w:r>
    </w:p>
    <w:p w14:paraId="1BC41187" w14:textId="77777777" w:rsidR="00890FF9" w:rsidRPr="00012AF0" w:rsidRDefault="00890FF9" w:rsidP="00B433FA">
      <w:pPr>
        <w:pStyle w:val="Default"/>
        <w:jc w:val="both"/>
      </w:pPr>
    </w:p>
    <w:p w14:paraId="4BE13212" w14:textId="77777777" w:rsidR="00B433FA" w:rsidRPr="00012AF0" w:rsidRDefault="0045163C" w:rsidP="00B433FA">
      <w:pPr>
        <w:pStyle w:val="Default"/>
        <w:numPr>
          <w:ilvl w:val="0"/>
          <w:numId w:val="1"/>
        </w:numPr>
        <w:spacing w:after="287"/>
      </w:pPr>
      <w:r>
        <w:t>viešosios (-</w:t>
      </w:r>
      <w:proofErr w:type="spellStart"/>
      <w:r>
        <w:t>ųjų</w:t>
      </w:r>
      <w:proofErr w:type="spellEnd"/>
      <w:r>
        <w:t xml:space="preserve">) paslaugos (-ų) teikimas </w:t>
      </w:r>
      <w:r w:rsidR="00E05AC4">
        <w:t>subjekto steigimo dokumentuose</w:t>
      </w:r>
      <w:r>
        <w:t xml:space="preserve"> yra nurodytas</w:t>
      </w:r>
      <w:r w:rsidR="005A4985">
        <w:t xml:space="preserve"> kaip pagrindinis tikslas</w:t>
      </w:r>
      <w:r w:rsidR="00B433FA" w:rsidRPr="00012AF0">
        <w:t xml:space="preserve">; </w:t>
      </w:r>
    </w:p>
    <w:p w14:paraId="194AC810" w14:textId="5A2135C6" w:rsidR="00B433FA" w:rsidRPr="00012AF0" w:rsidRDefault="00B433FA" w:rsidP="00B433FA">
      <w:pPr>
        <w:pStyle w:val="Default"/>
        <w:numPr>
          <w:ilvl w:val="0"/>
          <w:numId w:val="1"/>
        </w:numPr>
        <w:spacing w:after="287"/>
        <w:jc w:val="both"/>
      </w:pPr>
      <w:r>
        <w:rPr>
          <w:rFonts w:eastAsia="Times New Roman"/>
          <w:lang w:eastAsia="zh-CN"/>
        </w:rPr>
        <w:t xml:space="preserve">yra nuolatos </w:t>
      </w:r>
      <w:r w:rsidR="00CB5D7A">
        <w:rPr>
          <w:rFonts w:eastAsia="Times New Roman"/>
          <w:lang w:eastAsia="zh-CN"/>
        </w:rPr>
        <w:t>kontroliuojam</w:t>
      </w:r>
      <w:r w:rsidR="00A9130A">
        <w:rPr>
          <w:rFonts w:eastAsia="Times New Roman"/>
          <w:lang w:eastAsia="zh-CN"/>
        </w:rPr>
        <w:t>i</w:t>
      </w:r>
      <w:bookmarkStart w:id="0" w:name="_GoBack"/>
      <w:bookmarkEnd w:id="0"/>
      <w:r w:rsidR="00CB5D7A">
        <w:rPr>
          <w:rFonts w:eastAsia="Times New Roman"/>
          <w:lang w:eastAsia="zh-CN"/>
        </w:rPr>
        <w:t xml:space="preserve"> atitinkamos srities</w:t>
      </w:r>
      <w:r w:rsidR="008D08E0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valdžios institucijos ir (arba) </w:t>
      </w:r>
      <w:r w:rsidR="00730A23">
        <w:rPr>
          <w:rFonts w:eastAsia="Times New Roman"/>
          <w:lang w:eastAsia="zh-CN"/>
        </w:rPr>
        <w:t>valdomi</w:t>
      </w:r>
      <w:r>
        <w:rPr>
          <w:rFonts w:eastAsia="Times New Roman"/>
          <w:lang w:eastAsia="zh-CN"/>
        </w:rPr>
        <w:t xml:space="preserve"> viešai paskirtų patikėtinių valdyb</w:t>
      </w:r>
      <w:r w:rsidR="00730A23">
        <w:rPr>
          <w:rFonts w:eastAsia="Times New Roman"/>
          <w:lang w:eastAsia="zh-CN"/>
        </w:rPr>
        <w:t>os</w:t>
      </w:r>
      <w:r w:rsidRPr="00012AF0">
        <w:t xml:space="preserve">; </w:t>
      </w:r>
    </w:p>
    <w:p w14:paraId="64E9DA63" w14:textId="77777777" w:rsidR="00B433FA" w:rsidRPr="00012AF0" w:rsidRDefault="00B433FA" w:rsidP="00B433FA">
      <w:pPr>
        <w:pStyle w:val="Default"/>
        <w:numPr>
          <w:ilvl w:val="0"/>
          <w:numId w:val="1"/>
        </w:numPr>
        <w:spacing w:after="287"/>
        <w:jc w:val="both"/>
      </w:pPr>
      <w:r>
        <w:rPr>
          <w:rFonts w:eastAsia="Times New Roman"/>
          <w:lang w:eastAsia="zh-CN"/>
        </w:rPr>
        <w:t>yra finansiškai kontroliuojam</w:t>
      </w:r>
      <w:r w:rsidR="00730A23">
        <w:rPr>
          <w:rFonts w:eastAsia="Times New Roman"/>
          <w:lang w:eastAsia="zh-CN"/>
        </w:rPr>
        <w:t>i</w:t>
      </w:r>
      <w:r>
        <w:rPr>
          <w:rFonts w:eastAsia="Times New Roman"/>
          <w:lang w:eastAsia="zh-CN"/>
        </w:rPr>
        <w:t xml:space="preserve"> </w:t>
      </w:r>
      <w:r w:rsidR="005A4985">
        <w:rPr>
          <w:rFonts w:eastAsia="Times New Roman"/>
          <w:lang w:eastAsia="zh-CN"/>
        </w:rPr>
        <w:t xml:space="preserve">paskirtos </w:t>
      </w:r>
      <w:r w:rsidR="00730A23">
        <w:rPr>
          <w:rFonts w:eastAsia="Times New Roman"/>
          <w:lang w:eastAsia="zh-CN"/>
        </w:rPr>
        <w:t>valdžios</w:t>
      </w:r>
      <w:r>
        <w:rPr>
          <w:rFonts w:eastAsia="Times New Roman"/>
          <w:lang w:eastAsia="zh-CN"/>
        </w:rPr>
        <w:t xml:space="preserve"> </w:t>
      </w:r>
      <w:r w:rsidR="00E05AC4">
        <w:rPr>
          <w:rFonts w:eastAsia="Times New Roman"/>
          <w:lang w:eastAsia="zh-CN"/>
        </w:rPr>
        <w:t>institucijos</w:t>
      </w:r>
      <w:r w:rsidRPr="00012AF0">
        <w:t xml:space="preserve">; </w:t>
      </w:r>
    </w:p>
    <w:p w14:paraId="7A6BFA3A" w14:textId="77777777" w:rsidR="00B433FA" w:rsidRPr="00012AF0" w:rsidRDefault="00730A23" w:rsidP="00B433FA">
      <w:pPr>
        <w:pStyle w:val="Default"/>
        <w:numPr>
          <w:ilvl w:val="0"/>
          <w:numId w:val="1"/>
        </w:numPr>
        <w:spacing w:after="287"/>
        <w:jc w:val="both"/>
      </w:pPr>
      <w:r>
        <w:rPr>
          <w:rFonts w:eastAsia="Times New Roman"/>
          <w:lang w:eastAsia="zh-CN"/>
        </w:rPr>
        <w:t xml:space="preserve">yra tikrinami </w:t>
      </w:r>
      <w:r w:rsidR="005A4985">
        <w:rPr>
          <w:rFonts w:eastAsia="Times New Roman"/>
          <w:lang w:eastAsia="zh-CN"/>
        </w:rPr>
        <w:t xml:space="preserve">paskirtos </w:t>
      </w:r>
      <w:r>
        <w:rPr>
          <w:rFonts w:eastAsia="Times New Roman"/>
          <w:lang w:eastAsia="zh-CN"/>
        </w:rPr>
        <w:t xml:space="preserve">valdžios </w:t>
      </w:r>
      <w:r w:rsidR="00E05AC4">
        <w:rPr>
          <w:rFonts w:eastAsia="Times New Roman"/>
          <w:lang w:eastAsia="zh-CN"/>
        </w:rPr>
        <w:t>institucijos</w:t>
      </w:r>
      <w:r w:rsidR="00B433FA">
        <w:rPr>
          <w:rFonts w:eastAsia="Times New Roman"/>
          <w:lang w:eastAsia="zh-CN"/>
        </w:rPr>
        <w:t xml:space="preserve"> ir (arba) valstybinei audito institucijai privalo pateikti finansines ataskaitas</w:t>
      </w:r>
      <w:r w:rsidR="00B433FA" w:rsidRPr="00012AF0">
        <w:t xml:space="preserve">. </w:t>
      </w:r>
    </w:p>
    <w:p w14:paraId="1B6B835A" w14:textId="2EE4FEF8" w:rsidR="00B433FA" w:rsidRDefault="00CD2E28" w:rsidP="00B433FA">
      <w:pPr>
        <w:pStyle w:val="Default"/>
        <w:jc w:val="both"/>
      </w:pPr>
      <w:r>
        <w:t>Viešasis</w:t>
      </w:r>
      <w:r w:rsidRPr="00CD2E28">
        <w:t xml:space="preserve"> juridini</w:t>
      </w:r>
      <w:r>
        <w:t>s</w:t>
      </w:r>
      <w:r w:rsidRPr="00CD2E28">
        <w:t xml:space="preserve"> asm</w:t>
      </w:r>
      <w:r>
        <w:t>uo</w:t>
      </w:r>
      <w:r w:rsidR="00B433FA">
        <w:t xml:space="preserve"> </w:t>
      </w:r>
      <w:r w:rsidR="000A4A2C">
        <w:t xml:space="preserve">ar </w:t>
      </w:r>
      <w:r w:rsidR="001136A9">
        <w:t>kita organizacija</w:t>
      </w:r>
      <w:r w:rsidR="000A4A2C">
        <w:t>, pageidaujanti</w:t>
      </w:r>
      <w:r w:rsidR="00B433FA">
        <w:t xml:space="preserve"> Dvynių koordinavimo </w:t>
      </w:r>
      <w:r w:rsidR="00D253CD">
        <w:t>grupės</w:t>
      </w:r>
      <w:r w:rsidR="00B433FA">
        <w:t xml:space="preserve"> </w:t>
      </w:r>
      <w:r w:rsidR="000A4A2C">
        <w:t xml:space="preserve">būti </w:t>
      </w:r>
      <w:r w:rsidR="00B433FA">
        <w:t>įregistruot</w:t>
      </w:r>
      <w:r w:rsidR="000A4A2C">
        <w:t>a</w:t>
      </w:r>
      <w:r w:rsidR="00B433FA">
        <w:t xml:space="preserve"> kaip įgaliot</w:t>
      </w:r>
      <w:r w:rsidR="000A4A2C">
        <w:t>oji</w:t>
      </w:r>
      <w:r w:rsidR="00B433FA">
        <w:t xml:space="preserve"> institucij</w:t>
      </w:r>
      <w:r w:rsidR="000A4A2C">
        <w:t>a, kad galėtų</w:t>
      </w:r>
      <w:r w:rsidR="00B433FA">
        <w:t xml:space="preserve"> dalyvauti Dvynių projekto įgyvendinime, privalo pateikti </w:t>
      </w:r>
      <w:r w:rsidR="000A4A2C">
        <w:t>VN</w:t>
      </w:r>
      <w:r w:rsidR="00B433FA">
        <w:t xml:space="preserve"> </w:t>
      </w:r>
      <w:r w:rsidR="00516603">
        <w:t xml:space="preserve">Nacionaliniam Dvynių programos koordinatoriui (toliau – </w:t>
      </w:r>
      <w:r w:rsidR="00DA2B65">
        <w:t>Nacionalinis koordinatorius</w:t>
      </w:r>
      <w:r w:rsidR="00516603">
        <w:t>)</w:t>
      </w:r>
      <w:r w:rsidR="00B433FA">
        <w:t xml:space="preserve"> </w:t>
      </w:r>
      <w:r w:rsidR="00516603">
        <w:t xml:space="preserve">pagal </w:t>
      </w:r>
      <w:r w:rsidR="00EF7478">
        <w:t>šablon</w:t>
      </w:r>
      <w:r w:rsidR="00737871">
        <w:t xml:space="preserve">ą (priedas C17) </w:t>
      </w:r>
      <w:r w:rsidR="000A4A2C">
        <w:t xml:space="preserve"> užpildytą </w:t>
      </w:r>
      <w:r w:rsidR="00FF30D5">
        <w:t>patvirtinimą</w:t>
      </w:r>
      <w:r w:rsidR="005A4985">
        <w:t xml:space="preserve"> </w:t>
      </w:r>
      <w:r w:rsidR="00B433FA">
        <w:t>(jeigu reikia,</w:t>
      </w:r>
      <w:r w:rsidR="005A4985">
        <w:t xml:space="preserve"> pakeist</w:t>
      </w:r>
      <w:r w:rsidR="00EF7478">
        <w:t>ą taip</w:t>
      </w:r>
      <w:r w:rsidR="00B433FA">
        <w:t xml:space="preserve">, kad būtų </w:t>
      </w:r>
      <w:r w:rsidR="00D253CD">
        <w:t xml:space="preserve">aišku </w:t>
      </w:r>
      <w:r w:rsidR="005A4985">
        <w:t xml:space="preserve"> </w:t>
      </w:r>
      <w:r w:rsidR="00D253CD" w:rsidRPr="00D253CD">
        <w:t>kam tenka institucinė atsakomybė už</w:t>
      </w:r>
      <w:r w:rsidR="00B433FA">
        <w:t xml:space="preserve"> pateikt</w:t>
      </w:r>
      <w:r w:rsidR="0029224E">
        <w:t>os</w:t>
      </w:r>
      <w:r w:rsidR="00B433FA">
        <w:t xml:space="preserve"> informacij</w:t>
      </w:r>
      <w:r w:rsidR="0029224E">
        <w:t>os tikslumą ir teisingumą</w:t>
      </w:r>
      <w:r w:rsidR="00B433FA">
        <w:t>).</w:t>
      </w:r>
      <w:r w:rsidR="00B433FA" w:rsidRPr="00012AF0">
        <w:t xml:space="preserve"> </w:t>
      </w:r>
    </w:p>
    <w:p w14:paraId="069AC5FA" w14:textId="77777777" w:rsidR="00890FF9" w:rsidRPr="00012AF0" w:rsidRDefault="00890FF9" w:rsidP="00B433FA">
      <w:pPr>
        <w:pStyle w:val="Default"/>
        <w:jc w:val="both"/>
      </w:pPr>
    </w:p>
    <w:p w14:paraId="7AA9B6B9" w14:textId="64779B02" w:rsidR="00B433FA" w:rsidRDefault="00B433FA" w:rsidP="00B433FA">
      <w:pPr>
        <w:pStyle w:val="Default"/>
        <w:jc w:val="both"/>
      </w:pPr>
      <w:r>
        <w:t xml:space="preserve">Kiekviena </w:t>
      </w:r>
      <w:r w:rsidR="00890FF9">
        <w:t>VN</w:t>
      </w:r>
      <w:r>
        <w:t xml:space="preserve"> privalo </w:t>
      </w:r>
      <w:r w:rsidR="00890FF9">
        <w:t>ap</w:t>
      </w:r>
      <w:r w:rsidR="00D253CD">
        <w:t>si</w:t>
      </w:r>
      <w:r w:rsidR="00890FF9">
        <w:t>brėžti</w:t>
      </w:r>
      <w:r w:rsidR="00461A4D">
        <w:t>,</w:t>
      </w:r>
      <w:r w:rsidR="00D253CD">
        <w:t xml:space="preserve"> kam tenka institucinė atsakomybė</w:t>
      </w:r>
      <w:r w:rsidR="00890FF9">
        <w:t xml:space="preserve"> už pateiktos informacijos tikslumą ir teisingumą</w:t>
      </w:r>
      <w:r w:rsidR="00CA481B">
        <w:t xml:space="preserve"> </w:t>
      </w:r>
      <w:r w:rsidR="00513EFA">
        <w:t>bei</w:t>
      </w:r>
      <w:r w:rsidR="00CA481B">
        <w:t xml:space="preserve"> </w:t>
      </w:r>
      <w:r>
        <w:t xml:space="preserve">ir </w:t>
      </w:r>
      <w:r w:rsidR="00461A4D">
        <w:t>pa</w:t>
      </w:r>
      <w:r w:rsidR="00CA481B">
        <w:t>tvirti</w:t>
      </w:r>
      <w:r w:rsidR="00513EFA">
        <w:t>nimą</w:t>
      </w:r>
      <w:r w:rsidR="005A4985">
        <w:t>, kad</w:t>
      </w:r>
      <w:r w:rsidR="00CA481B">
        <w:t xml:space="preserve"> </w:t>
      </w:r>
      <w:r w:rsidR="005A4985">
        <w:t>siūlomas</w:t>
      </w:r>
      <w:r w:rsidR="00CA481B">
        <w:t xml:space="preserve"> </w:t>
      </w:r>
      <w:r w:rsidR="005A4985">
        <w:t>subjektas atitinka nustatytus reikalavimus</w:t>
      </w:r>
      <w:r>
        <w:t>. Vieno</w:t>
      </w:r>
      <w:r w:rsidR="00461A4D">
        <w:t>se</w:t>
      </w:r>
      <w:r>
        <w:t xml:space="preserve"> </w:t>
      </w:r>
      <w:r w:rsidR="00011762">
        <w:t>VN</w:t>
      </w:r>
      <w:r>
        <w:t xml:space="preserve"> atsakomybė </w:t>
      </w:r>
      <w:r w:rsidR="00011762">
        <w:t xml:space="preserve">gali būti perduota </w:t>
      </w:r>
      <w:r w:rsidR="00DA2B65">
        <w:t>Nacionaliniam</w:t>
      </w:r>
      <w:r w:rsidR="005A4985">
        <w:t xml:space="preserve"> Dvynių programos</w:t>
      </w:r>
      <w:r w:rsidR="00DA2B65">
        <w:t xml:space="preserve"> koordinatoriui</w:t>
      </w:r>
      <w:r>
        <w:t>,  kito</w:t>
      </w:r>
      <w:r w:rsidR="00461A4D">
        <w:t>se</w:t>
      </w:r>
      <w:r>
        <w:t xml:space="preserve"> </w:t>
      </w:r>
      <w:r w:rsidR="00011762">
        <w:t>VN -</w:t>
      </w:r>
      <w:r>
        <w:t xml:space="preserve"> registracijos prašančia</w:t>
      </w:r>
      <w:r w:rsidR="00011762">
        <w:t>m</w:t>
      </w:r>
      <w:r>
        <w:t xml:space="preserve"> </w:t>
      </w:r>
      <w:r w:rsidR="00011762">
        <w:t>subjektui</w:t>
      </w:r>
      <w:r>
        <w:t>.</w:t>
      </w:r>
      <w:r w:rsidRPr="00012AF0">
        <w:t xml:space="preserve"> </w:t>
      </w:r>
    </w:p>
    <w:p w14:paraId="5BD3CC2B" w14:textId="77777777" w:rsidR="00011762" w:rsidRPr="00012AF0" w:rsidRDefault="00011762" w:rsidP="00B433FA">
      <w:pPr>
        <w:pStyle w:val="Default"/>
        <w:jc w:val="both"/>
      </w:pPr>
    </w:p>
    <w:p w14:paraId="674C7C4A" w14:textId="312E5534" w:rsidR="00B433FA" w:rsidRDefault="00B433FA" w:rsidP="00B433FA">
      <w:pPr>
        <w:pStyle w:val="Default"/>
        <w:jc w:val="both"/>
      </w:pPr>
      <w:r>
        <w:t xml:space="preserve">Visais atvejais </w:t>
      </w:r>
      <w:r w:rsidR="00DA2B65">
        <w:t>registracijos</w:t>
      </w:r>
      <w:r>
        <w:t xml:space="preserve"> prašymą  Dvynių koordinavimo </w:t>
      </w:r>
      <w:r w:rsidR="00513EFA">
        <w:t xml:space="preserve">grupei perduoda VN </w:t>
      </w:r>
      <w:r w:rsidR="00513EFA" w:rsidRPr="00513EFA">
        <w:t>Nacionalinis</w:t>
      </w:r>
      <w:r w:rsidR="00513EFA">
        <w:t xml:space="preserve"> Dvynių programos koordinatorius.</w:t>
      </w:r>
    </w:p>
    <w:p w14:paraId="7C490795" w14:textId="77777777" w:rsidR="00DA2B65" w:rsidRPr="00012AF0" w:rsidRDefault="00DA2B65" w:rsidP="00B433FA">
      <w:pPr>
        <w:pStyle w:val="Default"/>
        <w:jc w:val="both"/>
      </w:pPr>
    </w:p>
    <w:p w14:paraId="18B4E421" w14:textId="1AB4D4BE" w:rsidR="00B433FA" w:rsidRDefault="00B433FA" w:rsidP="00B433FA">
      <w:pPr>
        <w:pStyle w:val="Default"/>
        <w:jc w:val="both"/>
        <w:rPr>
          <w:color w:val="auto"/>
        </w:rPr>
      </w:pPr>
      <w:r>
        <w:t xml:space="preserve">Įgaliotoji institucija privalo informuoti </w:t>
      </w:r>
      <w:r w:rsidR="005A4985">
        <w:t xml:space="preserve">VN </w:t>
      </w:r>
      <w:r w:rsidR="00DA2B65">
        <w:t>Nacionalinį</w:t>
      </w:r>
      <w:r w:rsidR="005A4985">
        <w:t xml:space="preserve"> Dvynių programos</w:t>
      </w:r>
      <w:r w:rsidR="00DA2B65">
        <w:t xml:space="preserve"> koordinatorių</w:t>
      </w:r>
      <w:r>
        <w:t xml:space="preserve"> apie bet kokius įgaliotosios institucijos statusui ir kriterijų </w:t>
      </w:r>
      <w:r w:rsidR="00DA2B65">
        <w:t xml:space="preserve">atitikimui </w:t>
      </w:r>
      <w:r>
        <w:t>įtaką darančius pokyčius. Jeigu įgaliotoji institucija ne</w:t>
      </w:r>
      <w:r w:rsidR="00513EFA">
        <w:t>be</w:t>
      </w:r>
      <w:r>
        <w:t xml:space="preserve">atitinka kriterijų, ji turi pranešti apie tai </w:t>
      </w:r>
      <w:r w:rsidR="005A4985">
        <w:t>VN Nacionalin</w:t>
      </w:r>
      <w:r w:rsidR="00913362">
        <w:t>ia</w:t>
      </w:r>
      <w:r w:rsidR="005A4985">
        <w:t>m Dvynių programos koordinatoriui</w:t>
      </w:r>
      <w:r w:rsidR="00A50D90" w:rsidRPr="005A4985">
        <w:t>.</w:t>
      </w:r>
      <w:r>
        <w:t xml:space="preserve"> </w:t>
      </w:r>
      <w:r w:rsidR="00A50D90">
        <w:t xml:space="preserve">Pastarasis apie tai </w:t>
      </w:r>
      <w:r>
        <w:t>informuo</w:t>
      </w:r>
      <w:r w:rsidR="00DA2B65">
        <w:t>ja</w:t>
      </w:r>
      <w:r>
        <w:t xml:space="preserve"> Dvynių koordinavimo </w:t>
      </w:r>
      <w:r w:rsidR="00913362">
        <w:t>grupę</w:t>
      </w:r>
      <w:r>
        <w:t xml:space="preserve">, kuri </w:t>
      </w:r>
      <w:r w:rsidR="005A4985">
        <w:t xml:space="preserve">remiantis </w:t>
      </w:r>
      <w:r>
        <w:t xml:space="preserve">4.1.4.3 </w:t>
      </w:r>
      <w:r w:rsidR="005A4985">
        <w:t>punktu</w:t>
      </w:r>
      <w:r w:rsidR="00A50D90">
        <w:t xml:space="preserve"> </w:t>
      </w:r>
      <w:r>
        <w:t>šią įgaliotąją instituciją išbraukia iš sąrašo.</w:t>
      </w:r>
      <w:r w:rsidRPr="00012AF0">
        <w:rPr>
          <w:color w:val="auto"/>
        </w:rPr>
        <w:t xml:space="preserve"> </w:t>
      </w:r>
    </w:p>
    <w:p w14:paraId="6EA08959" w14:textId="77777777" w:rsidR="00A50D90" w:rsidRPr="00012AF0" w:rsidRDefault="00A50D90" w:rsidP="00B433FA">
      <w:pPr>
        <w:pStyle w:val="Default"/>
        <w:jc w:val="both"/>
        <w:rPr>
          <w:color w:val="auto"/>
        </w:rPr>
      </w:pPr>
    </w:p>
    <w:p w14:paraId="1FC2007D" w14:textId="77777777" w:rsidR="00B433FA" w:rsidRDefault="00F14753" w:rsidP="00B433FA">
      <w:pPr>
        <w:pStyle w:val="Default"/>
        <w:rPr>
          <w:color w:val="auto"/>
        </w:rPr>
      </w:pPr>
      <w:r w:rsidRPr="00F14753">
        <w:rPr>
          <w:color w:val="auto"/>
        </w:rPr>
        <w:t>Institucija gali būti užregistruota pagal vieną iš įgaliojim</w:t>
      </w:r>
      <w:r>
        <w:rPr>
          <w:color w:val="auto"/>
        </w:rPr>
        <w:t>o</w:t>
      </w:r>
      <w:r w:rsidRPr="00F14753">
        <w:rPr>
          <w:color w:val="auto"/>
        </w:rPr>
        <w:t xml:space="preserve"> rūšių:</w:t>
      </w:r>
    </w:p>
    <w:p w14:paraId="70997746" w14:textId="77777777" w:rsidR="00F14753" w:rsidRPr="00012AF0" w:rsidRDefault="00F14753" w:rsidP="00B433FA">
      <w:pPr>
        <w:pStyle w:val="Default"/>
        <w:rPr>
          <w:color w:val="auto"/>
        </w:rPr>
      </w:pPr>
    </w:p>
    <w:p w14:paraId="4A81BDA7" w14:textId="26524BC6" w:rsidR="00B433FA" w:rsidRPr="00012AF0" w:rsidRDefault="000E2A8D" w:rsidP="00B433FA">
      <w:pPr>
        <w:pStyle w:val="Default"/>
        <w:numPr>
          <w:ilvl w:val="0"/>
          <w:numId w:val="2"/>
        </w:numPr>
        <w:spacing w:after="44"/>
        <w:rPr>
          <w:color w:val="auto"/>
        </w:rPr>
      </w:pPr>
      <w:r>
        <w:rPr>
          <w:color w:val="auto"/>
        </w:rPr>
        <w:lastRenderedPageBreak/>
        <w:t>pilno</w:t>
      </w:r>
      <w:r w:rsidR="00B433FA">
        <w:rPr>
          <w:color w:val="auto"/>
        </w:rPr>
        <w:t xml:space="preserve"> įgaliojim</w:t>
      </w:r>
      <w:r>
        <w:rPr>
          <w:color w:val="auto"/>
        </w:rPr>
        <w:t>o</w:t>
      </w:r>
      <w:r w:rsidR="00E05AC4">
        <w:rPr>
          <w:color w:val="auto"/>
        </w:rPr>
        <w:t xml:space="preserve"> (angl. </w:t>
      </w:r>
      <w:proofErr w:type="spellStart"/>
      <w:r w:rsidR="00513EFA">
        <w:rPr>
          <w:color w:val="auto"/>
        </w:rPr>
        <w:t>f</w:t>
      </w:r>
      <w:r w:rsidR="00E05AC4" w:rsidRPr="00513EFA">
        <w:rPr>
          <w:i/>
          <w:color w:val="auto"/>
        </w:rPr>
        <w:t>ull</w:t>
      </w:r>
      <w:proofErr w:type="spellEnd"/>
      <w:r w:rsidR="00E05AC4" w:rsidRPr="007F1E59">
        <w:rPr>
          <w:i/>
          <w:color w:val="auto"/>
        </w:rPr>
        <w:t xml:space="preserve"> mandate</w:t>
      </w:r>
      <w:r w:rsidR="00E05AC4">
        <w:rPr>
          <w:color w:val="auto"/>
        </w:rPr>
        <w:t>)</w:t>
      </w:r>
      <w:r w:rsidR="00B433FA" w:rsidRPr="00012AF0">
        <w:rPr>
          <w:color w:val="auto"/>
        </w:rPr>
        <w:t xml:space="preserve">; </w:t>
      </w:r>
    </w:p>
    <w:p w14:paraId="6E558802" w14:textId="15C9B194" w:rsidR="00B433FA" w:rsidRPr="00E05AC4" w:rsidRDefault="00513EFA" w:rsidP="00B433FA">
      <w:pPr>
        <w:pStyle w:val="Default"/>
        <w:numPr>
          <w:ilvl w:val="0"/>
          <w:numId w:val="2"/>
        </w:numPr>
        <w:spacing w:after="44"/>
        <w:rPr>
          <w:color w:val="auto"/>
        </w:rPr>
      </w:pPr>
      <w:proofErr w:type="spellStart"/>
      <w:r w:rsidRPr="00693012">
        <w:rPr>
          <w:i/>
          <w:color w:val="auto"/>
        </w:rPr>
        <w:t>a</w:t>
      </w:r>
      <w:r w:rsidR="001136A9" w:rsidRPr="00693012">
        <w:rPr>
          <w:i/>
          <w:color w:val="auto"/>
        </w:rPr>
        <w:t>d</w:t>
      </w:r>
      <w:proofErr w:type="spellEnd"/>
      <w:r w:rsidR="001136A9" w:rsidRPr="00693012">
        <w:rPr>
          <w:i/>
          <w:color w:val="auto"/>
        </w:rPr>
        <w:t xml:space="preserve"> </w:t>
      </w:r>
      <w:proofErr w:type="spellStart"/>
      <w:r w:rsidR="001136A9" w:rsidRPr="00693012">
        <w:rPr>
          <w:i/>
          <w:color w:val="auto"/>
        </w:rPr>
        <w:t>hoc</w:t>
      </w:r>
      <w:proofErr w:type="spellEnd"/>
      <w:r w:rsidR="001136A9">
        <w:rPr>
          <w:color w:val="auto"/>
        </w:rPr>
        <w:t xml:space="preserve"> </w:t>
      </w:r>
      <w:r w:rsidR="000E2A8D" w:rsidRPr="005A4985">
        <w:rPr>
          <w:color w:val="auto"/>
        </w:rPr>
        <w:t xml:space="preserve"> įgaliojimo</w:t>
      </w:r>
      <w:r w:rsidR="00E05AC4" w:rsidRPr="005A4985">
        <w:rPr>
          <w:color w:val="auto"/>
        </w:rPr>
        <w:t xml:space="preserve"> (angl. </w:t>
      </w:r>
      <w:proofErr w:type="spellStart"/>
      <w:r w:rsidRPr="00513EFA">
        <w:rPr>
          <w:i/>
          <w:color w:val="auto"/>
        </w:rPr>
        <w:t>a</w:t>
      </w:r>
      <w:r w:rsidR="00E05AC4" w:rsidRPr="00513EFA">
        <w:rPr>
          <w:i/>
          <w:color w:val="auto"/>
        </w:rPr>
        <w:t>d</w:t>
      </w:r>
      <w:proofErr w:type="spellEnd"/>
      <w:r w:rsidR="00E05AC4" w:rsidRPr="007F1E59">
        <w:rPr>
          <w:i/>
          <w:color w:val="auto"/>
        </w:rPr>
        <w:t xml:space="preserve"> </w:t>
      </w:r>
      <w:proofErr w:type="spellStart"/>
      <w:r w:rsidR="00E05AC4" w:rsidRPr="007F1E59">
        <w:rPr>
          <w:i/>
          <w:color w:val="auto"/>
        </w:rPr>
        <w:t>hoc</w:t>
      </w:r>
      <w:proofErr w:type="spellEnd"/>
      <w:r w:rsidR="00E05AC4" w:rsidRPr="007F1E59">
        <w:rPr>
          <w:i/>
          <w:color w:val="auto"/>
        </w:rPr>
        <w:t xml:space="preserve"> mandate</w:t>
      </w:r>
      <w:r w:rsidR="00E05AC4" w:rsidRPr="005A4985">
        <w:rPr>
          <w:color w:val="auto"/>
        </w:rPr>
        <w:t>)</w:t>
      </w:r>
      <w:r w:rsidR="00B433FA" w:rsidRPr="00E05AC4">
        <w:rPr>
          <w:color w:val="auto"/>
        </w:rPr>
        <w:t xml:space="preserve">. </w:t>
      </w:r>
    </w:p>
    <w:p w14:paraId="624F947C" w14:textId="77777777" w:rsidR="00B433FA" w:rsidRPr="00012AF0" w:rsidRDefault="00B433FA" w:rsidP="00B433FA">
      <w:pPr>
        <w:pStyle w:val="Default"/>
        <w:rPr>
          <w:color w:val="auto"/>
        </w:rPr>
      </w:pPr>
    </w:p>
    <w:p w14:paraId="22003848" w14:textId="77777777" w:rsidR="00B433FA" w:rsidRPr="005A4985" w:rsidRDefault="000E2A8D" w:rsidP="00B433FA">
      <w:pPr>
        <w:pStyle w:val="Default"/>
        <w:rPr>
          <w:i/>
          <w:iCs/>
          <w:color w:val="auto"/>
          <w:u w:val="single"/>
        </w:rPr>
      </w:pPr>
      <w:r w:rsidRPr="005A4985">
        <w:rPr>
          <w:i/>
          <w:iCs/>
          <w:color w:val="auto"/>
          <w:u w:val="single"/>
        </w:rPr>
        <w:t>Pilnas</w:t>
      </w:r>
      <w:r w:rsidR="00B433FA" w:rsidRPr="005A4985">
        <w:rPr>
          <w:i/>
          <w:iCs/>
          <w:color w:val="auto"/>
          <w:u w:val="single"/>
        </w:rPr>
        <w:t xml:space="preserve"> įgaliojim</w:t>
      </w:r>
      <w:r w:rsidRPr="005A4985">
        <w:rPr>
          <w:i/>
          <w:iCs/>
          <w:color w:val="auto"/>
          <w:u w:val="single"/>
        </w:rPr>
        <w:t>as</w:t>
      </w:r>
    </w:p>
    <w:p w14:paraId="7D7BF6D2" w14:textId="77777777" w:rsidR="000E2A8D" w:rsidRPr="00012AF0" w:rsidRDefault="000E2A8D" w:rsidP="00B433FA">
      <w:pPr>
        <w:pStyle w:val="Default"/>
        <w:rPr>
          <w:color w:val="auto"/>
        </w:rPr>
      </w:pPr>
    </w:p>
    <w:p w14:paraId="17B8E03C" w14:textId="75AE37E7" w:rsidR="00B433FA" w:rsidRDefault="000E2A8D" w:rsidP="00B433FA">
      <w:pPr>
        <w:pStyle w:val="Default"/>
        <w:jc w:val="both"/>
        <w:rPr>
          <w:color w:val="auto"/>
        </w:rPr>
      </w:pPr>
      <w:r>
        <w:rPr>
          <w:color w:val="auto"/>
        </w:rPr>
        <w:t>Subjektas,</w:t>
      </w:r>
      <w:r w:rsidRPr="000E2A8D">
        <w:rPr>
          <w:color w:val="auto"/>
        </w:rPr>
        <w:t xml:space="preserve"> </w:t>
      </w:r>
      <w:r>
        <w:rPr>
          <w:color w:val="auto"/>
        </w:rPr>
        <w:t>atitinkantis v</w:t>
      </w:r>
      <w:r w:rsidR="00B433FA">
        <w:rPr>
          <w:color w:val="auto"/>
        </w:rPr>
        <w:t xml:space="preserve">isus aukščiau </w:t>
      </w:r>
      <w:r>
        <w:rPr>
          <w:color w:val="auto"/>
        </w:rPr>
        <w:t xml:space="preserve">išvardintus </w:t>
      </w:r>
      <w:r w:rsidR="005A4985">
        <w:rPr>
          <w:color w:val="auto"/>
        </w:rPr>
        <w:t>kriterijus</w:t>
      </w:r>
      <w:r>
        <w:rPr>
          <w:color w:val="auto"/>
        </w:rPr>
        <w:t>,</w:t>
      </w:r>
      <w:r w:rsidR="00B433FA">
        <w:rPr>
          <w:color w:val="auto"/>
        </w:rPr>
        <w:t xml:space="preserve"> gali </w:t>
      </w:r>
      <w:r>
        <w:rPr>
          <w:color w:val="auto"/>
        </w:rPr>
        <w:t>prašyti Nacionalinio</w:t>
      </w:r>
      <w:r w:rsidR="005A4985">
        <w:rPr>
          <w:color w:val="auto"/>
        </w:rPr>
        <w:t xml:space="preserve"> Dvynių programos</w:t>
      </w:r>
      <w:r>
        <w:rPr>
          <w:color w:val="auto"/>
        </w:rPr>
        <w:t xml:space="preserve"> koordinatoriaus išsiųsti registracijos prašymą </w:t>
      </w:r>
      <w:r w:rsidR="00B433FA">
        <w:rPr>
          <w:color w:val="auto"/>
        </w:rPr>
        <w:t xml:space="preserve">Dvynių koordinavimo </w:t>
      </w:r>
      <w:r w:rsidR="00513EFA">
        <w:rPr>
          <w:color w:val="auto"/>
        </w:rPr>
        <w:t>grupei</w:t>
      </w:r>
      <w:r w:rsidR="00B433FA">
        <w:rPr>
          <w:color w:val="auto"/>
        </w:rPr>
        <w:t xml:space="preserve">. </w:t>
      </w:r>
      <w:r w:rsidR="00E05AC4">
        <w:rPr>
          <w:color w:val="auto"/>
        </w:rPr>
        <w:t>Pilnai</w:t>
      </w:r>
      <w:r>
        <w:rPr>
          <w:color w:val="auto"/>
        </w:rPr>
        <w:t xml:space="preserve"> įgaliotoji</w:t>
      </w:r>
      <w:r w:rsidR="00B433FA">
        <w:rPr>
          <w:color w:val="auto"/>
        </w:rPr>
        <w:t xml:space="preserve"> institucija</w:t>
      </w:r>
      <w:r w:rsidRPr="000E2A8D">
        <w:rPr>
          <w:color w:val="auto"/>
        </w:rPr>
        <w:t xml:space="preserve"> </w:t>
      </w:r>
      <w:r>
        <w:rPr>
          <w:color w:val="auto"/>
        </w:rPr>
        <w:t>gali dalyvauti visuose Dvynių projektuose po to</w:t>
      </w:r>
      <w:r w:rsidR="00B433FA">
        <w:rPr>
          <w:color w:val="auto"/>
        </w:rPr>
        <w:t xml:space="preserve">, kai ji yra įtraukiama į </w:t>
      </w:r>
      <w:r w:rsidR="00A01B41">
        <w:rPr>
          <w:color w:val="auto"/>
        </w:rPr>
        <w:t xml:space="preserve"> ES įgaliotųjų</w:t>
      </w:r>
      <w:r w:rsidR="00B433FA">
        <w:rPr>
          <w:color w:val="auto"/>
        </w:rPr>
        <w:t xml:space="preserve"> institucijų sąrašą, esantį </w:t>
      </w:r>
      <w:r w:rsidR="00A01B41" w:rsidRPr="00A01B41">
        <w:rPr>
          <w:color w:val="auto"/>
        </w:rPr>
        <w:t>Europos Komisijos Europos Kaimynystės politik</w:t>
      </w:r>
      <w:r w:rsidR="00A01B41">
        <w:rPr>
          <w:color w:val="auto"/>
        </w:rPr>
        <w:t>os ir Plėtros derybų generalinio direktorato</w:t>
      </w:r>
      <w:r w:rsidR="00B433FA">
        <w:rPr>
          <w:color w:val="auto"/>
        </w:rPr>
        <w:t xml:space="preserve"> (angl. DG NEAR) tinklalapyje.</w:t>
      </w:r>
      <w:r w:rsidR="00B433FA" w:rsidRPr="00012AF0">
        <w:rPr>
          <w:color w:val="auto"/>
        </w:rPr>
        <w:t xml:space="preserve"> </w:t>
      </w:r>
    </w:p>
    <w:p w14:paraId="2A7F20B6" w14:textId="77777777" w:rsidR="00A01B41" w:rsidRPr="00012AF0" w:rsidRDefault="00A01B41" w:rsidP="00B433FA">
      <w:pPr>
        <w:pStyle w:val="Default"/>
        <w:jc w:val="both"/>
        <w:rPr>
          <w:color w:val="auto"/>
        </w:rPr>
      </w:pPr>
    </w:p>
    <w:p w14:paraId="6A16A175" w14:textId="77777777" w:rsidR="00B433FA" w:rsidRDefault="00B433FA" w:rsidP="00B433FA">
      <w:pPr>
        <w:pStyle w:val="Default"/>
        <w:jc w:val="both"/>
        <w:rPr>
          <w:color w:val="auto"/>
        </w:rPr>
      </w:pPr>
      <w:r>
        <w:rPr>
          <w:color w:val="auto"/>
        </w:rPr>
        <w:t xml:space="preserve">Suprantama, kad </w:t>
      </w:r>
      <w:r w:rsidR="007A2928">
        <w:rPr>
          <w:color w:val="auto"/>
        </w:rPr>
        <w:t>subjektas</w:t>
      </w:r>
      <w:r>
        <w:rPr>
          <w:color w:val="auto"/>
        </w:rPr>
        <w:t xml:space="preserve"> turi </w:t>
      </w:r>
      <w:r w:rsidR="007A2928">
        <w:rPr>
          <w:color w:val="auto"/>
        </w:rPr>
        <w:t xml:space="preserve">ne tik </w:t>
      </w:r>
      <w:r>
        <w:rPr>
          <w:color w:val="auto"/>
        </w:rPr>
        <w:t xml:space="preserve">atitikti aukščiau nurodytus kriterijus, bet ir turėti </w:t>
      </w:r>
      <w:r>
        <w:rPr>
          <w:b/>
          <w:color w:val="auto"/>
        </w:rPr>
        <w:t>pakankamą ir proporcingą etatinių darbuotojų skaičių.</w:t>
      </w:r>
      <w:r>
        <w:rPr>
          <w:color w:val="auto"/>
        </w:rPr>
        <w:t xml:space="preserve"> </w:t>
      </w:r>
      <w:r w:rsidRPr="009D55DB">
        <w:rPr>
          <w:color w:val="auto"/>
        </w:rPr>
        <w:t>Tai, be kitų dalykų, reiškia, kad etatinių darbuotojų skaičius turi atitikti projekto poreikius tam, kad nereikėtų kai kurių paslaugų pirkti arba laikinai samdyti ekspertų Dvynių veiklos sritims įgyvendinti</w:t>
      </w:r>
      <w:r>
        <w:rPr>
          <w:color w:val="auto"/>
        </w:rPr>
        <w:t>.</w:t>
      </w:r>
      <w:r w:rsidRPr="00012AF0">
        <w:rPr>
          <w:color w:val="auto"/>
        </w:rPr>
        <w:t xml:space="preserve"> </w:t>
      </w:r>
    </w:p>
    <w:p w14:paraId="013D0051" w14:textId="77777777" w:rsidR="00BA2E07" w:rsidRPr="00012AF0" w:rsidRDefault="00BA2E07" w:rsidP="00B433FA">
      <w:pPr>
        <w:pStyle w:val="Default"/>
        <w:jc w:val="both"/>
        <w:rPr>
          <w:color w:val="auto"/>
        </w:rPr>
      </w:pPr>
    </w:p>
    <w:p w14:paraId="1C41CBBD" w14:textId="37A3A183" w:rsidR="00B433FA" w:rsidRPr="005A4985" w:rsidRDefault="001136A9" w:rsidP="00B433FA">
      <w:pPr>
        <w:pStyle w:val="Default"/>
        <w:rPr>
          <w:i/>
          <w:iCs/>
          <w:color w:val="auto"/>
          <w:u w:val="single"/>
        </w:rPr>
      </w:pPr>
      <w:proofErr w:type="spellStart"/>
      <w:r>
        <w:rPr>
          <w:i/>
          <w:iCs/>
          <w:color w:val="auto"/>
          <w:u w:val="single"/>
        </w:rPr>
        <w:t>Ad</w:t>
      </w:r>
      <w:proofErr w:type="spellEnd"/>
      <w:r>
        <w:rPr>
          <w:i/>
          <w:iCs/>
          <w:color w:val="auto"/>
          <w:u w:val="single"/>
        </w:rPr>
        <w:t xml:space="preserve"> </w:t>
      </w:r>
      <w:proofErr w:type="spellStart"/>
      <w:r>
        <w:rPr>
          <w:i/>
          <w:iCs/>
          <w:color w:val="auto"/>
          <w:u w:val="single"/>
        </w:rPr>
        <w:t>hoc</w:t>
      </w:r>
      <w:proofErr w:type="spellEnd"/>
      <w:r w:rsidR="00B433FA" w:rsidRPr="005A4985">
        <w:rPr>
          <w:i/>
          <w:iCs/>
          <w:color w:val="auto"/>
          <w:u w:val="single"/>
        </w:rPr>
        <w:t xml:space="preserve"> įgaliojim</w:t>
      </w:r>
      <w:r w:rsidR="00BA2E07">
        <w:rPr>
          <w:i/>
          <w:iCs/>
          <w:color w:val="auto"/>
          <w:u w:val="single"/>
        </w:rPr>
        <w:t>as</w:t>
      </w:r>
      <w:r w:rsidR="00B433FA" w:rsidRPr="005A4985">
        <w:rPr>
          <w:i/>
          <w:iCs/>
          <w:color w:val="auto"/>
          <w:u w:val="single"/>
        </w:rPr>
        <w:t xml:space="preserve"> </w:t>
      </w:r>
    </w:p>
    <w:p w14:paraId="2331E0DD" w14:textId="77777777" w:rsidR="00BA2E07" w:rsidRPr="00012AF0" w:rsidRDefault="00BA2E07" w:rsidP="00B433FA">
      <w:pPr>
        <w:pStyle w:val="Default"/>
        <w:rPr>
          <w:color w:val="auto"/>
        </w:rPr>
      </w:pPr>
    </w:p>
    <w:p w14:paraId="4B8C3D0A" w14:textId="3F0CB57E" w:rsidR="00B433FA" w:rsidRPr="00012AF0" w:rsidRDefault="00CD2E28" w:rsidP="00B433FA">
      <w:pPr>
        <w:pStyle w:val="Default"/>
        <w:jc w:val="both"/>
        <w:rPr>
          <w:color w:val="auto"/>
        </w:rPr>
      </w:pPr>
      <w:r>
        <w:t>V</w:t>
      </w:r>
      <w:r w:rsidRPr="00CD2E28">
        <w:t>ieš</w:t>
      </w:r>
      <w:r>
        <w:t>ajam</w:t>
      </w:r>
      <w:r w:rsidRPr="00CD2E28">
        <w:t xml:space="preserve"> juridinia</w:t>
      </w:r>
      <w:r>
        <w:t>m</w:t>
      </w:r>
      <w:r w:rsidRPr="00CD2E28">
        <w:t xml:space="preserve"> asmen</w:t>
      </w:r>
      <w:r>
        <w:t>iui</w:t>
      </w:r>
      <w:r w:rsidR="00BA2E07">
        <w:t xml:space="preserve"> ar </w:t>
      </w:r>
      <w:r w:rsidR="001136A9" w:rsidRPr="001136A9">
        <w:t>kita</w:t>
      </w:r>
      <w:r w:rsidR="001136A9">
        <w:t>i</w:t>
      </w:r>
      <w:r w:rsidR="001136A9" w:rsidRPr="001136A9">
        <w:t xml:space="preserve"> organizacija</w:t>
      </w:r>
      <w:r w:rsidR="001136A9">
        <w:t>i</w:t>
      </w:r>
      <w:r w:rsidR="00BA2E07">
        <w:t>, atitinkančia</w:t>
      </w:r>
      <w:r w:rsidR="001136A9">
        <w:t>i</w:t>
      </w:r>
      <w:r w:rsidR="00BA2E07">
        <w:rPr>
          <w:color w:val="auto"/>
        </w:rPr>
        <w:t xml:space="preserve"> f</w:t>
      </w:r>
      <w:r w:rsidR="00B433FA">
        <w:rPr>
          <w:color w:val="auto"/>
        </w:rPr>
        <w:t>ormalius kriterijus, tačiau galin</w:t>
      </w:r>
      <w:r w:rsidR="00BA2E07">
        <w:rPr>
          <w:color w:val="auto"/>
        </w:rPr>
        <w:t>čia</w:t>
      </w:r>
      <w:r w:rsidR="001136A9">
        <w:rPr>
          <w:color w:val="auto"/>
        </w:rPr>
        <w:t>i</w:t>
      </w:r>
      <w:r w:rsidR="00BA2E07">
        <w:rPr>
          <w:color w:val="auto"/>
        </w:rPr>
        <w:t xml:space="preserve"> teikti tik nedidelės apimties, labai</w:t>
      </w:r>
      <w:r w:rsidR="00B433FA">
        <w:rPr>
          <w:color w:val="auto"/>
        </w:rPr>
        <w:t xml:space="preserve"> specializuota</w:t>
      </w:r>
      <w:r w:rsidR="00BA2E07">
        <w:rPr>
          <w:color w:val="auto"/>
        </w:rPr>
        <w:t>s</w:t>
      </w:r>
      <w:r w:rsidR="00B433FA">
        <w:rPr>
          <w:color w:val="auto"/>
        </w:rPr>
        <w:t xml:space="preserve"> </w:t>
      </w:r>
      <w:r w:rsidR="00BA2E07">
        <w:rPr>
          <w:color w:val="auto"/>
        </w:rPr>
        <w:t>paslaugas</w:t>
      </w:r>
      <w:r w:rsidR="00D700F1" w:rsidRPr="00D700F1">
        <w:rPr>
          <w:color w:val="auto"/>
        </w:rPr>
        <w:t xml:space="preserve"> </w:t>
      </w:r>
      <w:r w:rsidR="00D700F1">
        <w:rPr>
          <w:color w:val="auto"/>
        </w:rPr>
        <w:t>Dvynių projektui</w:t>
      </w:r>
      <w:r w:rsidR="00BA2E07">
        <w:rPr>
          <w:color w:val="auto"/>
        </w:rPr>
        <w:t>,</w:t>
      </w:r>
      <w:r w:rsidR="00B433FA">
        <w:rPr>
          <w:color w:val="auto"/>
        </w:rPr>
        <w:t xml:space="preserve"> gali būti suteikt</w:t>
      </w:r>
      <w:r w:rsidR="00BA2E07">
        <w:rPr>
          <w:color w:val="auto"/>
        </w:rPr>
        <w:t>as</w:t>
      </w:r>
      <w:r w:rsidR="00B433FA">
        <w:rPr>
          <w:color w:val="auto"/>
        </w:rPr>
        <w:t xml:space="preserve"> </w:t>
      </w:r>
      <w:proofErr w:type="spellStart"/>
      <w:r w:rsidR="001136A9" w:rsidRPr="001136A9">
        <w:rPr>
          <w:i/>
          <w:color w:val="auto"/>
        </w:rPr>
        <w:t>ad</w:t>
      </w:r>
      <w:proofErr w:type="spellEnd"/>
      <w:r w:rsidR="001136A9" w:rsidRPr="001136A9">
        <w:rPr>
          <w:i/>
          <w:color w:val="auto"/>
        </w:rPr>
        <w:t xml:space="preserve">  </w:t>
      </w:r>
      <w:proofErr w:type="spellStart"/>
      <w:r w:rsidR="001136A9" w:rsidRPr="001136A9">
        <w:rPr>
          <w:i/>
          <w:color w:val="auto"/>
        </w:rPr>
        <w:t>hoc</w:t>
      </w:r>
      <w:proofErr w:type="spellEnd"/>
      <w:r w:rsidR="00B433FA">
        <w:rPr>
          <w:color w:val="auto"/>
        </w:rPr>
        <w:t xml:space="preserve"> įgaliojima</w:t>
      </w:r>
      <w:r w:rsidR="00BA2E07">
        <w:rPr>
          <w:color w:val="auto"/>
        </w:rPr>
        <w:t>s</w:t>
      </w:r>
      <w:r w:rsidR="00B433FA">
        <w:rPr>
          <w:color w:val="auto"/>
        </w:rPr>
        <w:t xml:space="preserve">. Prašant įregistruoti </w:t>
      </w:r>
      <w:proofErr w:type="spellStart"/>
      <w:r w:rsidR="001136A9" w:rsidRPr="001136A9">
        <w:rPr>
          <w:i/>
          <w:color w:val="auto"/>
        </w:rPr>
        <w:t>ad</w:t>
      </w:r>
      <w:proofErr w:type="spellEnd"/>
      <w:r w:rsidR="001136A9" w:rsidRPr="001136A9">
        <w:rPr>
          <w:i/>
          <w:color w:val="auto"/>
        </w:rPr>
        <w:t xml:space="preserve"> </w:t>
      </w:r>
      <w:proofErr w:type="spellStart"/>
      <w:r w:rsidR="001136A9" w:rsidRPr="001136A9">
        <w:rPr>
          <w:i/>
          <w:color w:val="auto"/>
        </w:rPr>
        <w:t>hoc</w:t>
      </w:r>
      <w:proofErr w:type="spellEnd"/>
      <w:r w:rsidR="00BA2E07" w:rsidRPr="007F1E59">
        <w:rPr>
          <w:i/>
          <w:color w:val="auto"/>
        </w:rPr>
        <w:t xml:space="preserve"> </w:t>
      </w:r>
      <w:r w:rsidR="00BA2E07" w:rsidRPr="005A4985">
        <w:rPr>
          <w:color w:val="auto"/>
        </w:rPr>
        <w:t>įgaliojimą</w:t>
      </w:r>
      <w:r w:rsidR="00B433FA">
        <w:rPr>
          <w:color w:val="auto"/>
        </w:rPr>
        <w:t xml:space="preserve">, </w:t>
      </w:r>
      <w:r w:rsidR="00BA2E07">
        <w:rPr>
          <w:color w:val="auto"/>
        </w:rPr>
        <w:t xml:space="preserve">Nacionalinis </w:t>
      </w:r>
      <w:r w:rsidR="006F3327">
        <w:rPr>
          <w:color w:val="auto"/>
        </w:rPr>
        <w:t xml:space="preserve">Dvynių programos </w:t>
      </w:r>
      <w:r w:rsidR="00BA2E07">
        <w:rPr>
          <w:color w:val="auto"/>
        </w:rPr>
        <w:t>koordinatorius</w:t>
      </w:r>
      <w:r w:rsidR="00B433FA">
        <w:rPr>
          <w:color w:val="auto"/>
        </w:rPr>
        <w:t xml:space="preserve"> nurodo tą Dvynių projektą, kuriam </w:t>
      </w:r>
      <w:r w:rsidR="00BA2E07">
        <w:rPr>
          <w:color w:val="auto"/>
        </w:rPr>
        <w:t xml:space="preserve">bus </w:t>
      </w:r>
      <w:r w:rsidR="00B433FA">
        <w:rPr>
          <w:color w:val="auto"/>
        </w:rPr>
        <w:t>taikom</w:t>
      </w:r>
      <w:r w:rsidR="00BA2E07">
        <w:rPr>
          <w:color w:val="auto"/>
        </w:rPr>
        <w:t>as</w:t>
      </w:r>
      <w:r w:rsidR="00B433FA" w:rsidRPr="00545941">
        <w:rPr>
          <w:color w:val="auto"/>
        </w:rPr>
        <w:t xml:space="preserve"> </w:t>
      </w:r>
      <w:r w:rsidR="00B433FA">
        <w:rPr>
          <w:color w:val="auto"/>
        </w:rPr>
        <w:t>įgaliojima</w:t>
      </w:r>
      <w:r w:rsidR="00BA2E07">
        <w:rPr>
          <w:color w:val="auto"/>
        </w:rPr>
        <w:t>s</w:t>
      </w:r>
      <w:r w:rsidR="00B433FA">
        <w:rPr>
          <w:color w:val="auto"/>
        </w:rPr>
        <w:t xml:space="preserve">. </w:t>
      </w:r>
      <w:proofErr w:type="spellStart"/>
      <w:r w:rsidR="001136A9" w:rsidRPr="001136A9">
        <w:rPr>
          <w:i/>
          <w:color w:val="auto"/>
        </w:rPr>
        <w:t>Ad</w:t>
      </w:r>
      <w:proofErr w:type="spellEnd"/>
      <w:r w:rsidR="001136A9" w:rsidRPr="001136A9">
        <w:rPr>
          <w:i/>
          <w:color w:val="auto"/>
        </w:rPr>
        <w:t xml:space="preserve"> </w:t>
      </w:r>
      <w:proofErr w:type="spellStart"/>
      <w:r w:rsidR="001136A9" w:rsidRPr="001136A9">
        <w:rPr>
          <w:i/>
          <w:color w:val="auto"/>
        </w:rPr>
        <w:t>hoc</w:t>
      </w:r>
      <w:proofErr w:type="spellEnd"/>
      <w:r w:rsidR="009A4BA5">
        <w:rPr>
          <w:color w:val="auto"/>
        </w:rPr>
        <w:t xml:space="preserve"> įgaliotosios institucijos nėra įtraukiamos į sąrašą tinklalapyje (</w:t>
      </w:r>
      <w:hyperlink r:id="rId10" w:history="1">
        <w:r w:rsidR="006F3327" w:rsidRPr="005E63E5">
          <w:rPr>
            <w:rStyle w:val="Hyperlink"/>
          </w:rPr>
          <w:t>https://ec.europa.eu/neighbourhood-enlargement/tenders/twinning_en</w:t>
        </w:r>
      </w:hyperlink>
      <w:r w:rsidR="006F3327">
        <w:t xml:space="preserve"> </w:t>
      </w:r>
      <w:r w:rsidR="009A4BA5">
        <w:rPr>
          <w:color w:val="auto"/>
        </w:rPr>
        <w:t>)</w:t>
      </w:r>
      <w:r w:rsidR="00B433FA">
        <w:rPr>
          <w:color w:val="auto"/>
        </w:rPr>
        <w:t>.</w:t>
      </w:r>
      <w:r w:rsidR="00B433FA" w:rsidRPr="00012AF0">
        <w:rPr>
          <w:color w:val="auto"/>
        </w:rPr>
        <w:t xml:space="preserve"> </w:t>
      </w:r>
    </w:p>
    <w:p w14:paraId="5E0E740C" w14:textId="77777777" w:rsidR="009A4BA5" w:rsidRPr="006F3327" w:rsidRDefault="006F3327" w:rsidP="00B433FA">
      <w:pPr>
        <w:pStyle w:val="Default"/>
      </w:pPr>
      <w:r>
        <w:t xml:space="preserve"> </w:t>
      </w:r>
    </w:p>
    <w:p w14:paraId="5460B0B2" w14:textId="77777777" w:rsidR="001136A9" w:rsidRDefault="001136A9" w:rsidP="00B433FA">
      <w:pPr>
        <w:pStyle w:val="Default"/>
        <w:jc w:val="both"/>
        <w:rPr>
          <w:color w:val="auto"/>
        </w:rPr>
      </w:pPr>
    </w:p>
    <w:p w14:paraId="6B86D68F" w14:textId="56D042B7" w:rsidR="00B433FA" w:rsidRDefault="001136A9" w:rsidP="00B433FA">
      <w:pPr>
        <w:pStyle w:val="Default"/>
        <w:jc w:val="both"/>
        <w:rPr>
          <w:color w:val="auto"/>
        </w:rPr>
      </w:pPr>
      <w:proofErr w:type="spellStart"/>
      <w:r w:rsidRPr="001136A9">
        <w:rPr>
          <w:i/>
          <w:color w:val="auto"/>
        </w:rPr>
        <w:t>Ad</w:t>
      </w:r>
      <w:proofErr w:type="spellEnd"/>
      <w:r w:rsidRPr="001136A9">
        <w:rPr>
          <w:i/>
          <w:color w:val="auto"/>
        </w:rPr>
        <w:t xml:space="preserve"> </w:t>
      </w:r>
      <w:proofErr w:type="spellStart"/>
      <w:r w:rsidRPr="001136A9">
        <w:rPr>
          <w:i/>
          <w:color w:val="auto"/>
        </w:rPr>
        <w:t>hoc</w:t>
      </w:r>
      <w:proofErr w:type="spellEnd"/>
      <w:r w:rsidR="008A62F3" w:rsidRPr="007F1E59">
        <w:rPr>
          <w:i/>
          <w:color w:val="auto"/>
        </w:rPr>
        <w:t xml:space="preserve"> </w:t>
      </w:r>
      <w:r w:rsidR="008A62F3">
        <w:rPr>
          <w:color w:val="auto"/>
        </w:rPr>
        <w:t>įgaliojimą galinčių įgyti subjektų pavyzdžiu galėtų būti k</w:t>
      </w:r>
      <w:r w:rsidR="00B433FA">
        <w:rPr>
          <w:color w:val="auto"/>
        </w:rPr>
        <w:t>riterijus atitinkantys valstybiniai universitetai ir moksline tiriamąja veikla užsiimantys institutai, kurių specializ</w:t>
      </w:r>
      <w:r w:rsidR="00693012">
        <w:rPr>
          <w:color w:val="auto"/>
        </w:rPr>
        <w:t>acija</w:t>
      </w:r>
      <w:r w:rsidR="00B433FA">
        <w:rPr>
          <w:color w:val="auto"/>
        </w:rPr>
        <w:t xml:space="preserve"> atitinka Dvynių </w:t>
      </w:r>
      <w:proofErr w:type="spellStart"/>
      <w:r w:rsidR="00DD487F">
        <w:rPr>
          <w:color w:val="auto"/>
        </w:rPr>
        <w:t>fišėje</w:t>
      </w:r>
      <w:proofErr w:type="spellEnd"/>
      <w:r w:rsidR="00DD487F">
        <w:rPr>
          <w:color w:val="auto"/>
        </w:rPr>
        <w:t xml:space="preserve"> </w:t>
      </w:r>
      <w:r w:rsidR="00B433FA">
        <w:rPr>
          <w:color w:val="auto"/>
        </w:rPr>
        <w:t xml:space="preserve">(angl. Twinning </w:t>
      </w:r>
      <w:proofErr w:type="spellStart"/>
      <w:r w:rsidR="00B433FA">
        <w:rPr>
          <w:color w:val="auto"/>
        </w:rPr>
        <w:t>Fiche</w:t>
      </w:r>
      <w:proofErr w:type="spellEnd"/>
      <w:r w:rsidR="00B433FA">
        <w:rPr>
          <w:color w:val="auto"/>
        </w:rPr>
        <w:t>) nurodytus poreikius.</w:t>
      </w:r>
      <w:r w:rsidR="00B433FA" w:rsidRPr="00012AF0">
        <w:rPr>
          <w:color w:val="auto"/>
        </w:rPr>
        <w:t xml:space="preserve"> </w:t>
      </w:r>
    </w:p>
    <w:p w14:paraId="2EE222DD" w14:textId="77777777" w:rsidR="008A62F3" w:rsidRPr="00012AF0" w:rsidRDefault="008A62F3" w:rsidP="00B433FA">
      <w:pPr>
        <w:pStyle w:val="Default"/>
        <w:jc w:val="both"/>
        <w:rPr>
          <w:color w:val="auto"/>
        </w:rPr>
      </w:pPr>
    </w:p>
    <w:p w14:paraId="346035F4" w14:textId="0E9C3E60" w:rsidR="00B433FA" w:rsidRDefault="008A62F3" w:rsidP="00B433FA">
      <w:pPr>
        <w:pStyle w:val="Default"/>
        <w:jc w:val="both"/>
        <w:rPr>
          <w:color w:val="auto"/>
        </w:rPr>
      </w:pPr>
      <w:r>
        <w:rPr>
          <w:color w:val="auto"/>
        </w:rPr>
        <w:t>Mažiausias etatinių darbuotojų skaičius, atiti</w:t>
      </w:r>
      <w:r w:rsidR="00693012">
        <w:rPr>
          <w:color w:val="auto"/>
        </w:rPr>
        <w:t>nkantis</w:t>
      </w:r>
      <w:r>
        <w:rPr>
          <w:color w:val="auto"/>
        </w:rPr>
        <w:t xml:space="preserve"> </w:t>
      </w:r>
      <w:proofErr w:type="spellStart"/>
      <w:r w:rsidR="00693012" w:rsidRPr="00693012">
        <w:rPr>
          <w:i/>
          <w:color w:val="auto"/>
        </w:rPr>
        <w:t>ad</w:t>
      </w:r>
      <w:proofErr w:type="spellEnd"/>
      <w:r w:rsidR="00693012" w:rsidRPr="00693012">
        <w:rPr>
          <w:i/>
          <w:color w:val="auto"/>
        </w:rPr>
        <w:t xml:space="preserve"> </w:t>
      </w:r>
      <w:proofErr w:type="spellStart"/>
      <w:r w:rsidR="00693012" w:rsidRPr="00693012">
        <w:rPr>
          <w:i/>
          <w:color w:val="auto"/>
        </w:rPr>
        <w:t>hoc</w:t>
      </w:r>
      <w:proofErr w:type="spellEnd"/>
      <w:r>
        <w:rPr>
          <w:color w:val="auto"/>
        </w:rPr>
        <w:t xml:space="preserve"> įgaliojimo reikalavimus, priklauso nuo kiekvieno Dvynių projekto. </w:t>
      </w:r>
    </w:p>
    <w:p w14:paraId="6A0297EC" w14:textId="77777777" w:rsidR="008A62F3" w:rsidRPr="00012AF0" w:rsidRDefault="008A62F3" w:rsidP="00B433FA">
      <w:pPr>
        <w:pStyle w:val="Default"/>
        <w:jc w:val="both"/>
        <w:rPr>
          <w:color w:val="auto"/>
        </w:rPr>
      </w:pPr>
    </w:p>
    <w:p w14:paraId="008B211D" w14:textId="0E06D61A" w:rsidR="00B433FA" w:rsidRPr="005A4985" w:rsidRDefault="00B433FA" w:rsidP="00B433FA">
      <w:pPr>
        <w:pStyle w:val="Default"/>
        <w:jc w:val="both"/>
        <w:rPr>
          <w:i/>
          <w:iCs/>
          <w:color w:val="auto"/>
          <w:u w:val="single"/>
        </w:rPr>
      </w:pPr>
      <w:r w:rsidRPr="005A4985">
        <w:rPr>
          <w:i/>
          <w:iCs/>
          <w:color w:val="auto"/>
          <w:u w:val="single"/>
        </w:rPr>
        <w:t>Bendro</w:t>
      </w:r>
      <w:r w:rsidR="00693012">
        <w:rPr>
          <w:i/>
          <w:iCs/>
          <w:color w:val="auto"/>
          <w:u w:val="single"/>
        </w:rPr>
        <w:t>jo</w:t>
      </w:r>
      <w:r w:rsidRPr="005A4985">
        <w:rPr>
          <w:i/>
          <w:iCs/>
          <w:color w:val="auto"/>
          <w:u w:val="single"/>
        </w:rPr>
        <w:t xml:space="preserve"> valdymo </w:t>
      </w:r>
      <w:r w:rsidR="00EF275E">
        <w:rPr>
          <w:i/>
          <w:iCs/>
          <w:color w:val="auto"/>
          <w:u w:val="single"/>
        </w:rPr>
        <w:t>įstaigos</w:t>
      </w:r>
      <w:r w:rsidRPr="005A4985">
        <w:rPr>
          <w:i/>
          <w:iCs/>
          <w:color w:val="auto"/>
          <w:u w:val="single"/>
        </w:rPr>
        <w:t xml:space="preserve"> </w:t>
      </w:r>
    </w:p>
    <w:p w14:paraId="748209FB" w14:textId="77777777" w:rsidR="008A62F3" w:rsidRPr="00012AF0" w:rsidRDefault="008A62F3" w:rsidP="00B433FA">
      <w:pPr>
        <w:pStyle w:val="Default"/>
        <w:jc w:val="both"/>
        <w:rPr>
          <w:color w:val="auto"/>
        </w:rPr>
      </w:pPr>
    </w:p>
    <w:p w14:paraId="3BC5E815" w14:textId="5298ED5A" w:rsidR="00B433FA" w:rsidRDefault="00B433FA" w:rsidP="00B433FA">
      <w:pPr>
        <w:pStyle w:val="Default"/>
        <w:jc w:val="both"/>
        <w:rPr>
          <w:color w:val="auto"/>
        </w:rPr>
      </w:pPr>
      <w:r>
        <w:rPr>
          <w:color w:val="auto"/>
        </w:rPr>
        <w:t xml:space="preserve">Kai kuriose </w:t>
      </w:r>
      <w:r w:rsidR="008A62F3">
        <w:rPr>
          <w:color w:val="auto"/>
        </w:rPr>
        <w:t>VN</w:t>
      </w:r>
      <w:r>
        <w:rPr>
          <w:color w:val="auto"/>
        </w:rPr>
        <w:t xml:space="preserve"> </w:t>
      </w:r>
      <w:r w:rsidR="000D382F">
        <w:rPr>
          <w:color w:val="auto"/>
        </w:rPr>
        <w:t>įkurtom</w:t>
      </w:r>
      <w:r w:rsidR="006F3327">
        <w:rPr>
          <w:color w:val="auto"/>
        </w:rPr>
        <w:t>s b</w:t>
      </w:r>
      <w:r w:rsidR="000D382F">
        <w:rPr>
          <w:color w:val="auto"/>
        </w:rPr>
        <w:t>endro</w:t>
      </w:r>
      <w:r w:rsidR="00693012">
        <w:rPr>
          <w:color w:val="auto"/>
        </w:rPr>
        <w:t>jo</w:t>
      </w:r>
      <w:r w:rsidR="000D382F">
        <w:rPr>
          <w:color w:val="auto"/>
        </w:rPr>
        <w:t xml:space="preserve"> valdymo </w:t>
      </w:r>
      <w:r w:rsidR="00EF275E">
        <w:rPr>
          <w:color w:val="auto"/>
        </w:rPr>
        <w:t>įstaigoms</w:t>
      </w:r>
      <w:r w:rsidR="000D382F">
        <w:rPr>
          <w:color w:val="auto"/>
        </w:rPr>
        <w:t xml:space="preserve">, teikiančioms su </w:t>
      </w:r>
      <w:r>
        <w:rPr>
          <w:color w:val="auto"/>
        </w:rPr>
        <w:t xml:space="preserve">projektų </w:t>
      </w:r>
      <w:r w:rsidR="008A62F3">
        <w:rPr>
          <w:color w:val="auto"/>
        </w:rPr>
        <w:t xml:space="preserve">ar </w:t>
      </w:r>
      <w:r>
        <w:rPr>
          <w:color w:val="auto"/>
        </w:rPr>
        <w:t>programų įgyvendinim</w:t>
      </w:r>
      <w:r w:rsidR="000D382F">
        <w:rPr>
          <w:color w:val="auto"/>
        </w:rPr>
        <w:t>u</w:t>
      </w:r>
      <w:r>
        <w:rPr>
          <w:color w:val="auto"/>
        </w:rPr>
        <w:t xml:space="preserve"> </w:t>
      </w:r>
      <w:r w:rsidR="000D382F">
        <w:rPr>
          <w:color w:val="auto"/>
        </w:rPr>
        <w:t xml:space="preserve">susijusias </w:t>
      </w:r>
      <w:r>
        <w:rPr>
          <w:color w:val="auto"/>
        </w:rPr>
        <w:t xml:space="preserve">viešojo administravimo paslaugas, gali būti suteiktas </w:t>
      </w:r>
      <w:r w:rsidR="000D382F">
        <w:rPr>
          <w:color w:val="auto"/>
        </w:rPr>
        <w:t xml:space="preserve">pilnai </w:t>
      </w:r>
      <w:r>
        <w:rPr>
          <w:color w:val="auto"/>
        </w:rPr>
        <w:t>įgalio</w:t>
      </w:r>
      <w:r w:rsidR="000D382F">
        <w:rPr>
          <w:color w:val="auto"/>
        </w:rPr>
        <w:t>tosios</w:t>
      </w:r>
      <w:r>
        <w:rPr>
          <w:color w:val="auto"/>
        </w:rPr>
        <w:t xml:space="preserve"> institucijos statusas, jeigu šios institucijos atitinka aukščiau nurodytus kriterijus.</w:t>
      </w:r>
      <w:r w:rsidRPr="00012AF0">
        <w:rPr>
          <w:color w:val="auto"/>
        </w:rPr>
        <w:t xml:space="preserve"> </w:t>
      </w:r>
    </w:p>
    <w:p w14:paraId="3265436C" w14:textId="77777777" w:rsidR="000D382F" w:rsidRPr="00012AF0" w:rsidRDefault="000D382F" w:rsidP="00B433FA">
      <w:pPr>
        <w:pStyle w:val="Default"/>
        <w:jc w:val="both"/>
        <w:rPr>
          <w:color w:val="auto"/>
        </w:rPr>
      </w:pPr>
    </w:p>
    <w:p w14:paraId="71D85F3F" w14:textId="70033221" w:rsidR="00B433FA" w:rsidRPr="00012AF0" w:rsidRDefault="00B433FA" w:rsidP="00B433FA">
      <w:pPr>
        <w:pStyle w:val="Default"/>
        <w:jc w:val="both"/>
        <w:rPr>
          <w:color w:val="auto"/>
        </w:rPr>
      </w:pPr>
      <w:r>
        <w:rPr>
          <w:color w:val="auto"/>
        </w:rPr>
        <w:t xml:space="preserve">Jeigu tokia </w:t>
      </w:r>
      <w:r w:rsidR="00EF275E">
        <w:rPr>
          <w:color w:val="auto"/>
        </w:rPr>
        <w:t>įstaiga</w:t>
      </w:r>
      <w:r w:rsidR="00216386">
        <w:rPr>
          <w:color w:val="auto"/>
        </w:rPr>
        <w:t xml:space="preserve"> įvertinta </w:t>
      </w:r>
      <w:r>
        <w:rPr>
          <w:color w:val="auto"/>
        </w:rPr>
        <w:t>šeši</w:t>
      </w:r>
      <w:r w:rsidR="00216386">
        <w:rPr>
          <w:color w:val="auto"/>
        </w:rPr>
        <w:t>ais</w:t>
      </w:r>
      <w:r>
        <w:rPr>
          <w:color w:val="auto"/>
        </w:rPr>
        <w:t xml:space="preserve"> </w:t>
      </w:r>
      <w:r w:rsidR="005A4985">
        <w:rPr>
          <w:color w:val="auto"/>
        </w:rPr>
        <w:t xml:space="preserve">standartais </w:t>
      </w:r>
      <w:r w:rsidR="00216386">
        <w:rPr>
          <w:color w:val="auto"/>
        </w:rPr>
        <w:t xml:space="preserve"> (angl. </w:t>
      </w:r>
      <w:proofErr w:type="spellStart"/>
      <w:r w:rsidR="00216386">
        <w:rPr>
          <w:color w:val="auto"/>
        </w:rPr>
        <w:t>six-pillar</w:t>
      </w:r>
      <w:proofErr w:type="spellEnd"/>
      <w:r w:rsidR="00216386">
        <w:rPr>
          <w:color w:val="auto"/>
        </w:rPr>
        <w:t>)</w:t>
      </w:r>
      <w:r>
        <w:rPr>
          <w:color w:val="auto"/>
        </w:rPr>
        <w:t xml:space="preserve">, jai nereikia pateikti </w:t>
      </w:r>
      <w:r w:rsidR="00216386">
        <w:rPr>
          <w:color w:val="auto"/>
        </w:rPr>
        <w:t xml:space="preserve">registracijos </w:t>
      </w:r>
      <w:r>
        <w:rPr>
          <w:color w:val="auto"/>
        </w:rPr>
        <w:t xml:space="preserve">prašymo </w:t>
      </w:r>
      <w:r w:rsidR="00216386">
        <w:rPr>
          <w:color w:val="auto"/>
        </w:rPr>
        <w:t xml:space="preserve">dėl </w:t>
      </w:r>
      <w:r>
        <w:rPr>
          <w:color w:val="auto"/>
        </w:rPr>
        <w:t xml:space="preserve"> įgaliot</w:t>
      </w:r>
      <w:r w:rsidR="00216386">
        <w:rPr>
          <w:color w:val="auto"/>
        </w:rPr>
        <w:t>osios</w:t>
      </w:r>
      <w:r>
        <w:rPr>
          <w:color w:val="auto"/>
        </w:rPr>
        <w:t xml:space="preserve"> institucij</w:t>
      </w:r>
      <w:r w:rsidR="00216386">
        <w:rPr>
          <w:color w:val="auto"/>
        </w:rPr>
        <w:t>os statuso</w:t>
      </w:r>
      <w:r>
        <w:rPr>
          <w:color w:val="auto"/>
        </w:rPr>
        <w:t xml:space="preserve">. Tokia institucija laikoma </w:t>
      </w:r>
      <w:r w:rsidR="00216386">
        <w:rPr>
          <w:color w:val="auto"/>
        </w:rPr>
        <w:t>tinkama įgaliotąja</w:t>
      </w:r>
      <w:r>
        <w:rPr>
          <w:color w:val="auto"/>
        </w:rPr>
        <w:t xml:space="preserve"> institucija.</w:t>
      </w:r>
    </w:p>
    <w:p w14:paraId="14CAEC00" w14:textId="77777777" w:rsidR="000B7B26" w:rsidRDefault="000B7B26"/>
    <w:sectPr w:rsidR="000B7B26">
      <w:headerReference w:type="default" r:id="rId11"/>
      <w:foot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6773" w14:textId="77777777" w:rsidR="000D110A" w:rsidRDefault="000D110A" w:rsidP="00B433FA">
      <w:pPr>
        <w:spacing w:after="0" w:line="240" w:lineRule="auto"/>
      </w:pPr>
      <w:r>
        <w:separator/>
      </w:r>
    </w:p>
  </w:endnote>
  <w:endnote w:type="continuationSeparator" w:id="0">
    <w:p w14:paraId="5D11581A" w14:textId="77777777" w:rsidR="000D110A" w:rsidRDefault="000D110A" w:rsidP="00B433FA">
      <w:pPr>
        <w:spacing w:after="0" w:line="240" w:lineRule="auto"/>
      </w:pPr>
      <w:r>
        <w:continuationSeparator/>
      </w:r>
    </w:p>
  </w:endnote>
  <w:endnote w:type="continuationNotice" w:id="1">
    <w:p w14:paraId="3B85D493" w14:textId="77777777" w:rsidR="000D110A" w:rsidRDefault="000D1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B17A" w14:textId="77777777" w:rsidR="000D110A" w:rsidRDefault="000D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D427" w14:textId="77777777" w:rsidR="000D110A" w:rsidRDefault="000D110A" w:rsidP="00B433FA">
      <w:pPr>
        <w:spacing w:after="0" w:line="240" w:lineRule="auto"/>
      </w:pPr>
      <w:r>
        <w:separator/>
      </w:r>
    </w:p>
  </w:footnote>
  <w:footnote w:type="continuationSeparator" w:id="0">
    <w:p w14:paraId="4518C963" w14:textId="77777777" w:rsidR="000D110A" w:rsidRDefault="000D110A" w:rsidP="00B433FA">
      <w:pPr>
        <w:spacing w:after="0" w:line="240" w:lineRule="auto"/>
      </w:pPr>
      <w:r>
        <w:continuationSeparator/>
      </w:r>
    </w:p>
  </w:footnote>
  <w:footnote w:type="continuationNotice" w:id="1">
    <w:p w14:paraId="1CFAD5D5" w14:textId="77777777" w:rsidR="000D110A" w:rsidRDefault="000D1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E54" w14:textId="77777777" w:rsidR="000D110A" w:rsidRDefault="000D1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C18"/>
    <w:multiLevelType w:val="hybridMultilevel"/>
    <w:tmpl w:val="31DE82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E65CF"/>
    <w:multiLevelType w:val="hybridMultilevel"/>
    <w:tmpl w:val="21506A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A"/>
    <w:rsid w:val="00011762"/>
    <w:rsid w:val="000A4A2C"/>
    <w:rsid w:val="000B6F43"/>
    <w:rsid w:val="000B7B26"/>
    <w:rsid w:val="000D110A"/>
    <w:rsid w:val="000D382F"/>
    <w:rsid w:val="000E2A8D"/>
    <w:rsid w:val="001136A9"/>
    <w:rsid w:val="00216386"/>
    <w:rsid w:val="0029224E"/>
    <w:rsid w:val="002F0ED2"/>
    <w:rsid w:val="00322036"/>
    <w:rsid w:val="0045163C"/>
    <w:rsid w:val="00461A4D"/>
    <w:rsid w:val="004755B3"/>
    <w:rsid w:val="004D7286"/>
    <w:rsid w:val="00513EFA"/>
    <w:rsid w:val="00516603"/>
    <w:rsid w:val="005A4985"/>
    <w:rsid w:val="005E61D7"/>
    <w:rsid w:val="00616385"/>
    <w:rsid w:val="006247D4"/>
    <w:rsid w:val="00655CBE"/>
    <w:rsid w:val="00693012"/>
    <w:rsid w:val="006B7A8B"/>
    <w:rsid w:val="006E2928"/>
    <w:rsid w:val="006F3327"/>
    <w:rsid w:val="00730A23"/>
    <w:rsid w:val="00737871"/>
    <w:rsid w:val="007A2928"/>
    <w:rsid w:val="007B3684"/>
    <w:rsid w:val="007F1E59"/>
    <w:rsid w:val="00890FF9"/>
    <w:rsid w:val="008A62F3"/>
    <w:rsid w:val="008D08E0"/>
    <w:rsid w:val="00913362"/>
    <w:rsid w:val="009827EF"/>
    <w:rsid w:val="009A4BA5"/>
    <w:rsid w:val="009E198F"/>
    <w:rsid w:val="00A01B41"/>
    <w:rsid w:val="00A50D90"/>
    <w:rsid w:val="00A9130A"/>
    <w:rsid w:val="00B433FA"/>
    <w:rsid w:val="00BA2E07"/>
    <w:rsid w:val="00BD4A12"/>
    <w:rsid w:val="00C23ADD"/>
    <w:rsid w:val="00C4522E"/>
    <w:rsid w:val="00CA481B"/>
    <w:rsid w:val="00CB5D7A"/>
    <w:rsid w:val="00CD2E28"/>
    <w:rsid w:val="00D253CD"/>
    <w:rsid w:val="00D700F1"/>
    <w:rsid w:val="00DA2B65"/>
    <w:rsid w:val="00DD487F"/>
    <w:rsid w:val="00E05AC4"/>
    <w:rsid w:val="00E73366"/>
    <w:rsid w:val="00EF275E"/>
    <w:rsid w:val="00EF7478"/>
    <w:rsid w:val="00F14753"/>
    <w:rsid w:val="00F2251B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8711"/>
  <w15:chartTrackingRefBased/>
  <w15:docId w15:val="{523EB82D-A0D3-4D3F-B46E-2E629B9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FA"/>
  </w:style>
  <w:style w:type="paragraph" w:styleId="Footer">
    <w:name w:val="footer"/>
    <w:basedOn w:val="Normal"/>
    <w:link w:val="FooterChar"/>
    <w:uiPriority w:val="99"/>
    <w:unhideWhenUsed/>
    <w:rsid w:val="00B43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FA"/>
  </w:style>
  <w:style w:type="paragraph" w:styleId="BalloonText">
    <w:name w:val="Balloon Text"/>
    <w:basedOn w:val="Normal"/>
    <w:link w:val="BalloonTextChar"/>
    <w:uiPriority w:val="99"/>
    <w:semiHidden/>
    <w:unhideWhenUsed/>
    <w:rsid w:val="00BA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3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neighbourhood-enlargement/tenders/twinning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cinis dokumentas" ma:contentTypeID="0x010100D76F90AF19434866994CD715ED8FEE420100EF165DE8E43F23458C64B8E764AB1203" ma:contentTypeVersion="1" ma:contentTypeDescription="" ma:contentTypeScope="" ma:versionID="b393e413f7d5c3eb63c1e3c69c55d78e">
  <xsd:schema xmlns:xsd="http://www.w3.org/2001/XMLSchema" xmlns:xs="http://www.w3.org/2001/XMLSchema" xmlns:p="http://schemas.microsoft.com/office/2006/metadata/properties" xmlns:ns2="4b2e9d09-07c5-42d4-ad0a-92e216c40b99" xmlns:ns3="028236e2-f653-4d19-ab67-4d06a9145e0c" targetNamespace="http://schemas.microsoft.com/office/2006/metadata/properties" ma:root="true" ma:fieldsID="01da1b2484c738a69bc45f7909c448ec" ns2:_="" ns3:_="">
    <xsd:import namespace="4b2e9d09-07c5-42d4-ad0a-92e216c40b99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9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DocPrepDocSendReg xmlns="028236e2-f653-4d19-ab67-4d06a9145e0c">false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578ACD20-D6BF-4BAD-A9F3-42C8B32F4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3DA25-A6FC-4777-8BE8-2DCEC2D5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C260B-6757-4D77-9B2E-C85AA71ED8D7}">
  <ds:schemaRefs>
    <ds:schemaRef ds:uri="http://purl.org/dc/terms/"/>
    <ds:schemaRef ds:uri="http://purl.org/dc/dcmitype/"/>
    <ds:schemaRef ds:uri="http://schemas.openxmlformats.org/package/2006/metadata/core-properties"/>
    <ds:schemaRef ds:uri="4b2e9d09-07c5-42d4-ad0a-92e216c40b9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28236e2-f653-4d19-ab67-4d06a9145e0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Įgaliotųjų institucijų statusas_4.1.4.1-4.1.4.3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Įgaliotųjų institucijų statusas_4.1.4.1-4.1.4.3</dc:title>
  <dc:subject/>
  <dc:creator>Skaistė Matonytė</dc:creator>
  <cp:keywords/>
  <dc:description/>
  <cp:lastModifiedBy>Skaistė Matonytė</cp:lastModifiedBy>
  <cp:revision>2</cp:revision>
  <cp:lastPrinted>2017-10-02T13:10:00Z</cp:lastPrinted>
  <dcterms:created xsi:type="dcterms:W3CDTF">2017-11-28T16:17:00Z</dcterms:created>
  <dcterms:modified xsi:type="dcterms:W3CDTF">2017-11-28T16:17:00Z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0x010100D76F90AF19434866994CD715ED8FEE420100EF165DE8E43F23458C64B8E764AB1203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64;#Skaistė Matonytė;#273;#Dalia Vinklerė;#255;#Deimantė Vaičiūnė</vt:lpwstr>
  </property>
  <property fmtid="{D5CDD505-2E9C-101B-9397-08002B2CF9AE}" pid="5" name="DmsPermissionsDivisions">
    <vt:lpwstr>65;#Tarptautinio bendradarbiavimo skyrius|5399547e-e11f-4a40-bfe8-6ba35ce9890f;#641;#Teisės ir kokybės kontrolės tarnyba|49a3c2a9-3e57-4b22-bc07-71553bb31692</vt:lpwstr>
  </property>
  <property fmtid="{D5CDD505-2E9C-101B-9397-08002B2CF9AE}" pid="6" name="b1f23dead1274c488d632b6cb8d4aba0">
    <vt:lpwstr/>
  </property>
  <property fmtid="{D5CDD505-2E9C-101B-9397-08002B2CF9AE}" pid="7" name="j6fdf40a0e1e4c27b9444f6dc0ea131b">
    <vt:lpwstr>Tarptautinio bendradarbiavimo skyrius|5399547e-e11f-4a40-bfe8-6ba35ce9890f</vt:lpwstr>
  </property>
  <property fmtid="{D5CDD505-2E9C-101B-9397-08002B2CF9AE}" pid="8" name="DmsResponsibleDivision">
    <vt:lpwstr/>
  </property>
  <property fmtid="{D5CDD505-2E9C-101B-9397-08002B2CF9AE}" pid="9" name="TaxCatchAll">
    <vt:lpwstr>65;#Tarptautinio bendradarbiavimo skyrius|5399547e-e11f-4a40-bfe8-6ba35ce9890f</vt:lpwstr>
  </property>
</Properties>
</file>