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5D430" w14:textId="36CA0503" w:rsidR="00C80829" w:rsidRDefault="00C80829">
      <w:pPr>
        <w:spacing w:after="0" w:line="240" w:lineRule="auto"/>
        <w:ind w:left="5245"/>
        <w:jc w:val="both"/>
        <w:rPr>
          <w:rFonts w:ascii="Times New Roman" w:hAnsi="Times New Roman" w:cs="Times New Roman"/>
          <w:bCs/>
          <w:sz w:val="24"/>
          <w:szCs w:val="24"/>
          <w:lang w:val="lt-LT"/>
        </w:rPr>
      </w:pPr>
      <w:r>
        <w:rPr>
          <w:rFonts w:ascii="Times New Roman" w:hAnsi="Times New Roman" w:cs="Times New Roman"/>
          <w:bCs/>
          <w:sz w:val="24"/>
          <w:szCs w:val="24"/>
          <w:lang w:val="lt-LT"/>
        </w:rPr>
        <w:t>PATVIRTINTA</w:t>
      </w:r>
    </w:p>
    <w:p w14:paraId="39785721" w14:textId="77777777" w:rsidR="00C80829" w:rsidRDefault="00072BBC">
      <w:pPr>
        <w:spacing w:after="0" w:line="240" w:lineRule="auto"/>
        <w:ind w:left="5245"/>
        <w:jc w:val="both"/>
        <w:rPr>
          <w:rFonts w:ascii="Times New Roman" w:hAnsi="Times New Roman" w:cs="Times New Roman"/>
          <w:bCs/>
          <w:sz w:val="24"/>
          <w:szCs w:val="24"/>
          <w:lang w:val="lt-LT"/>
        </w:rPr>
      </w:pPr>
      <w:r w:rsidRPr="00C37C2D">
        <w:rPr>
          <w:rFonts w:ascii="Times New Roman" w:hAnsi="Times New Roman" w:cs="Times New Roman"/>
          <w:bCs/>
          <w:sz w:val="24"/>
          <w:szCs w:val="24"/>
          <w:lang w:val="lt-LT"/>
        </w:rPr>
        <w:t>V</w:t>
      </w:r>
      <w:r w:rsidR="00C80829">
        <w:rPr>
          <w:rFonts w:ascii="Times New Roman" w:hAnsi="Times New Roman" w:cs="Times New Roman"/>
          <w:bCs/>
          <w:sz w:val="24"/>
          <w:szCs w:val="24"/>
          <w:lang w:val="lt-LT"/>
        </w:rPr>
        <w:t xml:space="preserve">iešosios įstaigos </w:t>
      </w:r>
      <w:r w:rsidRPr="00C37C2D">
        <w:rPr>
          <w:rFonts w:ascii="Times New Roman" w:hAnsi="Times New Roman" w:cs="Times New Roman"/>
          <w:bCs/>
          <w:sz w:val="24"/>
          <w:szCs w:val="24"/>
          <w:lang w:val="lt-LT"/>
        </w:rPr>
        <w:t>Centrinės projektų valdymo agentūros direktoriaus</w:t>
      </w:r>
    </w:p>
    <w:p w14:paraId="77872A96" w14:textId="2A55CC11" w:rsidR="00C07A69" w:rsidRDefault="00072BBC">
      <w:pPr>
        <w:spacing w:after="0" w:line="240" w:lineRule="auto"/>
        <w:ind w:left="5245"/>
        <w:jc w:val="both"/>
        <w:rPr>
          <w:rFonts w:ascii="Times New Roman" w:hAnsi="Times New Roman" w:cs="Times New Roman"/>
          <w:bCs/>
          <w:sz w:val="24"/>
          <w:szCs w:val="24"/>
          <w:lang w:val="lt-LT"/>
        </w:rPr>
      </w:pPr>
      <w:r w:rsidRPr="00C37C2D">
        <w:rPr>
          <w:rFonts w:ascii="Times New Roman" w:hAnsi="Times New Roman" w:cs="Times New Roman"/>
          <w:bCs/>
          <w:sz w:val="24"/>
          <w:szCs w:val="24"/>
          <w:lang w:val="lt-LT"/>
        </w:rPr>
        <w:t>2017 m.</w:t>
      </w:r>
      <w:r w:rsidR="00445CD7">
        <w:rPr>
          <w:rFonts w:ascii="Times New Roman" w:hAnsi="Times New Roman" w:cs="Times New Roman"/>
          <w:bCs/>
          <w:sz w:val="24"/>
          <w:szCs w:val="24"/>
          <w:lang w:val="lt-LT"/>
        </w:rPr>
        <w:t xml:space="preserve"> birželio</w:t>
      </w:r>
      <w:r w:rsidR="006E61D4">
        <w:rPr>
          <w:rFonts w:ascii="Times New Roman" w:hAnsi="Times New Roman" w:cs="Times New Roman"/>
          <w:bCs/>
          <w:sz w:val="24"/>
          <w:szCs w:val="24"/>
          <w:lang w:val="lt-LT"/>
        </w:rPr>
        <w:t xml:space="preserve"> 28</w:t>
      </w:r>
      <w:r w:rsidRPr="00C37C2D">
        <w:rPr>
          <w:rFonts w:ascii="Times New Roman" w:hAnsi="Times New Roman" w:cs="Times New Roman"/>
          <w:bCs/>
          <w:sz w:val="24"/>
          <w:szCs w:val="24"/>
          <w:lang w:val="lt-LT"/>
        </w:rPr>
        <w:t xml:space="preserve"> d.</w:t>
      </w:r>
      <w:r>
        <w:rPr>
          <w:rFonts w:ascii="Times New Roman" w:hAnsi="Times New Roman" w:cs="Times New Roman"/>
          <w:bCs/>
          <w:sz w:val="24"/>
          <w:szCs w:val="24"/>
          <w:lang w:val="lt-LT"/>
        </w:rPr>
        <w:t xml:space="preserve"> </w:t>
      </w:r>
      <w:r w:rsidR="00C80829">
        <w:rPr>
          <w:rFonts w:ascii="Times New Roman" w:hAnsi="Times New Roman" w:cs="Times New Roman"/>
          <w:bCs/>
          <w:sz w:val="24"/>
          <w:szCs w:val="24"/>
          <w:lang w:val="lt-LT"/>
        </w:rPr>
        <w:t>įsakymu</w:t>
      </w:r>
      <w:r>
        <w:rPr>
          <w:rFonts w:ascii="Times New Roman" w:hAnsi="Times New Roman" w:cs="Times New Roman"/>
          <w:bCs/>
          <w:sz w:val="24"/>
          <w:szCs w:val="24"/>
          <w:lang w:val="lt-LT"/>
        </w:rPr>
        <w:t xml:space="preserve"> Nr.</w:t>
      </w:r>
      <w:r w:rsidR="00445CD7">
        <w:rPr>
          <w:rFonts w:ascii="Times New Roman" w:hAnsi="Times New Roman" w:cs="Times New Roman"/>
          <w:bCs/>
          <w:sz w:val="24"/>
          <w:szCs w:val="24"/>
          <w:lang w:val="lt-LT"/>
        </w:rPr>
        <w:t xml:space="preserve"> 2017/8-</w:t>
      </w:r>
      <w:r w:rsidR="006E61D4">
        <w:rPr>
          <w:rFonts w:ascii="Times New Roman" w:hAnsi="Times New Roman" w:cs="Times New Roman"/>
          <w:bCs/>
          <w:sz w:val="24"/>
          <w:szCs w:val="24"/>
          <w:lang w:val="lt-LT"/>
        </w:rPr>
        <w:t>174</w:t>
      </w:r>
      <w:bookmarkStart w:id="0" w:name="_GoBack"/>
      <w:bookmarkEnd w:id="0"/>
    </w:p>
    <w:p w14:paraId="334BD5CB" w14:textId="77777777" w:rsidR="00C07A69" w:rsidRDefault="00C07A69">
      <w:pPr>
        <w:spacing w:after="0" w:line="240" w:lineRule="auto"/>
        <w:jc w:val="center"/>
        <w:rPr>
          <w:rFonts w:ascii="Times New Roman" w:hAnsi="Times New Roman" w:cs="Times New Roman"/>
          <w:b/>
          <w:bCs/>
          <w:sz w:val="24"/>
          <w:szCs w:val="24"/>
        </w:rPr>
      </w:pPr>
    </w:p>
    <w:p w14:paraId="461C09AD" w14:textId="77777777" w:rsidR="00194CE4" w:rsidRDefault="00194CE4">
      <w:pPr>
        <w:spacing w:after="0" w:line="240" w:lineRule="auto"/>
        <w:jc w:val="center"/>
        <w:rPr>
          <w:rFonts w:ascii="Times New Roman" w:hAnsi="Times New Roman" w:cs="Times New Roman"/>
          <w:b/>
          <w:bCs/>
          <w:sz w:val="24"/>
          <w:szCs w:val="24"/>
        </w:rPr>
      </w:pPr>
    </w:p>
    <w:p w14:paraId="5EC523C5" w14:textId="77777777" w:rsidR="00194CE4" w:rsidRDefault="00194CE4">
      <w:pPr>
        <w:spacing w:after="0" w:line="240" w:lineRule="auto"/>
        <w:jc w:val="center"/>
        <w:rPr>
          <w:rFonts w:ascii="Times New Roman" w:hAnsi="Times New Roman" w:cs="Times New Roman"/>
          <w:b/>
          <w:bCs/>
          <w:sz w:val="24"/>
          <w:szCs w:val="24"/>
        </w:rPr>
      </w:pPr>
    </w:p>
    <w:p w14:paraId="7F55981F" w14:textId="54A75570" w:rsidR="00C07A69" w:rsidRDefault="00072BBC" w:rsidP="0059457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POLICIJOS DEPARTAMENTO PRIE LIETUVOS RESPUBLIKOS VIDAUS REIKALŲ MINISTERIJOS ĮGYVENDINAMŲ 2014-2020 M. VIDAUS SAUGUMO FONDO </w:t>
      </w:r>
      <w:r w:rsidR="008E31C7">
        <w:rPr>
          <w:rFonts w:ascii="Times New Roman" w:hAnsi="Times New Roman" w:cs="Times New Roman"/>
          <w:b/>
          <w:bCs/>
          <w:sz w:val="24"/>
          <w:szCs w:val="24"/>
        </w:rPr>
        <w:t xml:space="preserve">PAPILDOMŲ VEIKLOS SĄNAUDŲ </w:t>
      </w:r>
      <w:r>
        <w:rPr>
          <w:rFonts w:ascii="Times New Roman" w:hAnsi="Times New Roman" w:cs="Times New Roman"/>
          <w:b/>
          <w:bCs/>
          <w:sz w:val="24"/>
          <w:szCs w:val="24"/>
        </w:rPr>
        <w:t>PROJEKTŲ SUPA</w:t>
      </w:r>
      <w:r w:rsidR="008227A8">
        <w:rPr>
          <w:rFonts w:ascii="Times New Roman" w:hAnsi="Times New Roman" w:cs="Times New Roman"/>
          <w:b/>
          <w:bCs/>
          <w:sz w:val="24"/>
          <w:szCs w:val="24"/>
        </w:rPr>
        <w:t>P</w:t>
      </w:r>
      <w:r>
        <w:rPr>
          <w:rFonts w:ascii="Times New Roman" w:hAnsi="Times New Roman" w:cs="Times New Roman"/>
          <w:b/>
          <w:bCs/>
          <w:sz w:val="24"/>
          <w:szCs w:val="24"/>
        </w:rPr>
        <w:t>RASTINTO IŠLAIDŲ AP</w:t>
      </w:r>
      <w:r w:rsidR="00484FEF">
        <w:rPr>
          <w:rFonts w:ascii="Times New Roman" w:hAnsi="Times New Roman" w:cs="Times New Roman"/>
          <w:b/>
          <w:bCs/>
          <w:sz w:val="24"/>
          <w:szCs w:val="24"/>
        </w:rPr>
        <w:t>SKAIČIAVIMO</w:t>
      </w:r>
      <w:r w:rsidR="008227A8">
        <w:rPr>
          <w:rFonts w:ascii="Times New Roman" w:hAnsi="Times New Roman" w:cs="Times New Roman"/>
          <w:b/>
          <w:bCs/>
          <w:sz w:val="24"/>
          <w:szCs w:val="24"/>
        </w:rPr>
        <w:t xml:space="preserve"> IR DEK</w:t>
      </w:r>
      <w:r w:rsidR="006C42C3">
        <w:rPr>
          <w:rFonts w:ascii="Times New Roman" w:hAnsi="Times New Roman" w:cs="Times New Roman"/>
          <w:b/>
          <w:bCs/>
          <w:sz w:val="24"/>
          <w:szCs w:val="24"/>
        </w:rPr>
        <w:t>L</w:t>
      </w:r>
      <w:r w:rsidR="008227A8">
        <w:rPr>
          <w:rFonts w:ascii="Times New Roman" w:hAnsi="Times New Roman" w:cs="Times New Roman"/>
          <w:b/>
          <w:bCs/>
          <w:sz w:val="24"/>
          <w:szCs w:val="24"/>
        </w:rPr>
        <w:t>A</w:t>
      </w:r>
      <w:r w:rsidR="006C42C3">
        <w:rPr>
          <w:rFonts w:ascii="Times New Roman" w:hAnsi="Times New Roman" w:cs="Times New Roman"/>
          <w:b/>
          <w:bCs/>
          <w:sz w:val="24"/>
          <w:szCs w:val="24"/>
        </w:rPr>
        <w:t>RAVIMO</w:t>
      </w:r>
      <w:r w:rsidR="00484FEF">
        <w:rPr>
          <w:rFonts w:ascii="Times New Roman" w:hAnsi="Times New Roman" w:cs="Times New Roman"/>
          <w:b/>
          <w:bCs/>
          <w:sz w:val="24"/>
          <w:szCs w:val="24"/>
        </w:rPr>
        <w:t xml:space="preserve"> </w:t>
      </w:r>
      <w:r>
        <w:rPr>
          <w:rFonts w:ascii="Times New Roman" w:hAnsi="Times New Roman" w:cs="Times New Roman"/>
          <w:b/>
          <w:bCs/>
          <w:sz w:val="24"/>
          <w:szCs w:val="24"/>
        </w:rPr>
        <w:t xml:space="preserve">METODIKA  </w:t>
      </w:r>
    </w:p>
    <w:p w14:paraId="11B9D321" w14:textId="77777777" w:rsidR="00C07A69" w:rsidRDefault="00C07A69" w:rsidP="00594572">
      <w:pPr>
        <w:spacing w:after="0" w:line="276" w:lineRule="auto"/>
        <w:jc w:val="both"/>
        <w:rPr>
          <w:rFonts w:ascii="Times New Roman" w:hAnsi="Times New Roman" w:cs="Times New Roman"/>
          <w:b/>
          <w:bCs/>
          <w:sz w:val="24"/>
          <w:szCs w:val="24"/>
        </w:rPr>
      </w:pPr>
    </w:p>
    <w:p w14:paraId="3CAC14E7" w14:textId="77777777" w:rsidR="00194CE4" w:rsidRDefault="00194CE4" w:rsidP="00594572">
      <w:pPr>
        <w:spacing w:after="0" w:line="276" w:lineRule="auto"/>
        <w:jc w:val="both"/>
        <w:rPr>
          <w:rFonts w:ascii="Times New Roman" w:hAnsi="Times New Roman" w:cs="Times New Roman"/>
          <w:b/>
          <w:bCs/>
          <w:sz w:val="24"/>
          <w:szCs w:val="24"/>
        </w:rPr>
      </w:pPr>
    </w:p>
    <w:p w14:paraId="20E541D4" w14:textId="77777777" w:rsidR="00C07A69" w:rsidRDefault="00072BBC" w:rsidP="00594572">
      <w:pPr>
        <w:pStyle w:val="ListParagraph"/>
        <w:tabs>
          <w:tab w:val="left" w:pos="0"/>
        </w:tabs>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I. BENDROSIOS NUOSTATOS</w:t>
      </w:r>
    </w:p>
    <w:p w14:paraId="161B1545" w14:textId="77777777" w:rsidR="00C07A69" w:rsidRDefault="00C07A69" w:rsidP="00594572">
      <w:pPr>
        <w:pStyle w:val="ListParagraph"/>
        <w:tabs>
          <w:tab w:val="left" w:pos="0"/>
        </w:tabs>
        <w:spacing w:after="0"/>
        <w:ind w:left="0"/>
        <w:jc w:val="both"/>
        <w:rPr>
          <w:rFonts w:ascii="Times New Roman" w:hAnsi="Times New Roman" w:cs="Times New Roman"/>
          <w:b/>
          <w:bCs/>
          <w:sz w:val="24"/>
          <w:szCs w:val="24"/>
        </w:rPr>
      </w:pPr>
    </w:p>
    <w:p w14:paraId="280BB4D6" w14:textId="481B88C6"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bCs/>
        </w:rPr>
        <w:t xml:space="preserve">Policijos departamento prie Lietuvos Respublikos Vidaus reikalų ministerijos įgyvendinamų 2014-2020 m. Vidaus saugumo fondo </w:t>
      </w:r>
      <w:r w:rsidR="008E31C7">
        <w:rPr>
          <w:rFonts w:ascii="Times New Roman" w:hAnsi="Times New Roman" w:cs="Times New Roman"/>
          <w:bCs/>
        </w:rPr>
        <w:t xml:space="preserve">papildomų veiklos sąnaudų </w:t>
      </w:r>
      <w:r>
        <w:rPr>
          <w:rFonts w:ascii="Times New Roman" w:hAnsi="Times New Roman" w:cs="Times New Roman"/>
          <w:bCs/>
        </w:rPr>
        <w:t xml:space="preserve">projektų supaprastinto išlaidų </w:t>
      </w:r>
      <w:r w:rsidR="006C42C3">
        <w:rPr>
          <w:rFonts w:ascii="Times New Roman" w:hAnsi="Times New Roman" w:cs="Times New Roman"/>
          <w:bCs/>
        </w:rPr>
        <w:t xml:space="preserve">apskaičiavimo ir deklaravimo </w:t>
      </w:r>
      <w:r>
        <w:rPr>
          <w:rFonts w:ascii="Times New Roman" w:hAnsi="Times New Roman" w:cs="Times New Roman"/>
          <w:bCs/>
        </w:rPr>
        <w:t xml:space="preserve">metodika (toliau – Metodika) </w:t>
      </w:r>
      <w:r>
        <w:rPr>
          <w:rFonts w:ascii="Times New Roman" w:hAnsi="Times New Roman" w:cs="Times New Roman"/>
          <w:bCs/>
          <w:color w:val="00000A"/>
        </w:rPr>
        <w:t xml:space="preserve">nustato </w:t>
      </w:r>
      <w:r>
        <w:rPr>
          <w:rFonts w:ascii="Times New Roman" w:hAnsi="Times New Roman" w:cs="Times New Roman"/>
          <w:bCs/>
        </w:rPr>
        <w:t>Policijos departamento prie Lietuvos Respublikos Vidaus reikalų ministerijos (toliau – PD) patiriamų išlaidų ap</w:t>
      </w:r>
      <w:r w:rsidR="006C42C3">
        <w:rPr>
          <w:rFonts w:ascii="Times New Roman" w:hAnsi="Times New Roman" w:cs="Times New Roman"/>
          <w:bCs/>
        </w:rPr>
        <w:t>skaičiavimą</w:t>
      </w:r>
      <w:r w:rsidR="003C6B3F">
        <w:rPr>
          <w:rFonts w:ascii="Times New Roman" w:hAnsi="Times New Roman" w:cs="Times New Roman"/>
          <w:bCs/>
        </w:rPr>
        <w:t xml:space="preserve"> ir deklaravimą</w:t>
      </w:r>
      <w:r>
        <w:rPr>
          <w:rFonts w:ascii="Times New Roman" w:hAnsi="Times New Roman" w:cs="Times New Roman"/>
          <w:bCs/>
        </w:rPr>
        <w:t xml:space="preserve">, įgyvendinant Specialiosios tranzito schemos (toliau – STS) </w:t>
      </w:r>
      <w:r w:rsidR="008E31C7">
        <w:rPr>
          <w:rFonts w:ascii="Times New Roman" w:hAnsi="Times New Roman" w:cs="Times New Roman"/>
          <w:bCs/>
        </w:rPr>
        <w:t xml:space="preserve">papildomų veiklos sąnaudų </w:t>
      </w:r>
      <w:r>
        <w:rPr>
          <w:rFonts w:ascii="Times New Roman" w:hAnsi="Times New Roman" w:cs="Times New Roman"/>
          <w:bCs/>
        </w:rPr>
        <w:t>projektus, finansuojamus 2014–2020 m. Vidaus saugumo fondo (toliau – VSF) lėšomis (toliau – Finansinės paramos lėšos).</w:t>
      </w:r>
    </w:p>
    <w:p w14:paraId="64253521"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rPr>
        <w:t>Metodika parengta vadovaujantis:</w:t>
      </w:r>
    </w:p>
    <w:p w14:paraId="02742675" w14:textId="7CBC7800" w:rsidR="00C07A69" w:rsidRDefault="00072BBC" w:rsidP="00594572">
      <w:pPr>
        <w:pStyle w:val="Default"/>
        <w:numPr>
          <w:ilvl w:val="1"/>
          <w:numId w:val="1"/>
        </w:numPr>
        <w:tabs>
          <w:tab w:val="left" w:pos="1276"/>
        </w:tabs>
        <w:spacing w:line="276" w:lineRule="auto"/>
        <w:ind w:left="0" w:firstLine="720"/>
        <w:jc w:val="both"/>
        <w:rPr>
          <w:rFonts w:ascii="Times New Roman" w:hAnsi="Times New Roman" w:cs="Times New Roman"/>
          <w:bCs/>
        </w:rPr>
      </w:pPr>
      <w:r>
        <w:rPr>
          <w:rFonts w:ascii="Times New Roman" w:hAnsi="Times New Roman" w:cs="Times New Roman"/>
        </w:rPr>
        <w:t>Vidaus saugumo fondo projektų administravimo ir finansavimo taisyklėmis, patvirtintomis Lietuvos Respublikos Vidaus reikalų ministro 2015 m. rugsėjo 3 d. įsakymu</w:t>
      </w:r>
      <w:r w:rsidR="00947F90">
        <w:rPr>
          <w:rFonts w:ascii="Times New Roman" w:hAnsi="Times New Roman" w:cs="Times New Roman"/>
        </w:rPr>
        <w:br/>
      </w:r>
      <w:r>
        <w:rPr>
          <w:rFonts w:ascii="Times New Roman" w:hAnsi="Times New Roman" w:cs="Times New Roman"/>
        </w:rPr>
        <w:t>Nr. 1V-683 „Dėl Vidaus saugumo fondo projektų administravimo ir finansavimo taisyklių patvirtinimo“</w:t>
      </w:r>
      <w:r>
        <w:rPr>
          <w:rFonts w:ascii="Times New Roman" w:hAnsi="Times New Roman" w:cs="Times New Roman"/>
          <w:color w:val="00000A"/>
        </w:rPr>
        <w:t>.</w:t>
      </w:r>
    </w:p>
    <w:p w14:paraId="3CF40675" w14:textId="77298E30" w:rsidR="00C07A69" w:rsidRDefault="00072BBC" w:rsidP="00594572">
      <w:pPr>
        <w:pStyle w:val="Default"/>
        <w:numPr>
          <w:ilvl w:val="1"/>
          <w:numId w:val="1"/>
        </w:numPr>
        <w:tabs>
          <w:tab w:val="left" w:pos="1276"/>
        </w:tabs>
        <w:spacing w:line="276" w:lineRule="auto"/>
        <w:ind w:left="0" w:firstLine="720"/>
        <w:jc w:val="both"/>
        <w:rPr>
          <w:rFonts w:ascii="Times New Roman" w:hAnsi="Times New Roman" w:cs="Times New Roman"/>
          <w:bCs/>
        </w:rPr>
      </w:pPr>
      <w:r>
        <w:rPr>
          <w:rFonts w:ascii="Times New Roman" w:hAnsi="Times New Roman" w:cs="Times New Roman"/>
          <w:color w:val="00000A"/>
        </w:rPr>
        <w:t xml:space="preserve">Policijos departamento prie Lietuvos Respublikos Vidaus reikalų ministerijos automobilių eksploatacinių išlaidų fiksuotojo įkainio apskaičiavimo metodika, patvirtinta viešosios įstaigos Centrinės projektų valdymo agentūros </w:t>
      </w:r>
      <w:r w:rsidR="00947F90">
        <w:rPr>
          <w:rFonts w:ascii="Times New Roman" w:hAnsi="Times New Roman" w:cs="Times New Roman"/>
          <w:color w:val="00000A"/>
        </w:rPr>
        <w:t xml:space="preserve">(toliau – CPVA) </w:t>
      </w:r>
      <w:r>
        <w:rPr>
          <w:rFonts w:ascii="Times New Roman" w:hAnsi="Times New Roman" w:cs="Times New Roman"/>
          <w:color w:val="00000A"/>
        </w:rPr>
        <w:t>direktoriaus pavaduotojos</w:t>
      </w:r>
      <w:r w:rsidR="00947F90">
        <w:rPr>
          <w:rFonts w:ascii="Times New Roman" w:hAnsi="Times New Roman" w:cs="Times New Roman"/>
          <w:color w:val="00000A"/>
        </w:rPr>
        <w:br/>
      </w:r>
      <w:r>
        <w:rPr>
          <w:rFonts w:ascii="Times New Roman" w:hAnsi="Times New Roman" w:cs="Times New Roman"/>
          <w:color w:val="00000A"/>
        </w:rPr>
        <w:t>2016 m. birželio 23 d. potvarkiu Nr. 2016/20-2-10.</w:t>
      </w:r>
    </w:p>
    <w:p w14:paraId="78A899EF" w14:textId="1D6BF09B" w:rsidR="00C07A69" w:rsidRDefault="00072BBC" w:rsidP="00594572">
      <w:pPr>
        <w:pStyle w:val="Default"/>
        <w:numPr>
          <w:ilvl w:val="1"/>
          <w:numId w:val="1"/>
        </w:numPr>
        <w:tabs>
          <w:tab w:val="left" w:pos="1276"/>
        </w:tabs>
        <w:spacing w:line="276" w:lineRule="auto"/>
        <w:ind w:left="0" w:firstLine="720"/>
        <w:jc w:val="both"/>
        <w:rPr>
          <w:rFonts w:ascii="Times New Roman" w:hAnsi="Times New Roman" w:cs="Times New Roman"/>
          <w:bCs/>
        </w:rPr>
      </w:pPr>
      <w:r>
        <w:rPr>
          <w:rFonts w:ascii="Times New Roman" w:hAnsi="Times New Roman" w:cs="Times New Roman"/>
        </w:rPr>
        <w:t>Rusijos Federacijos piliečių, vykstančių supaprastintu tranzitu per Lietuvos Respublikos teritoriją, kontrolės tvarkos aprašu, patvirtintu Lietuvos policijos generalinio komisaro</w:t>
      </w:r>
      <w:r w:rsidR="00947F90">
        <w:rPr>
          <w:rFonts w:ascii="Times New Roman" w:hAnsi="Times New Roman" w:cs="Times New Roman"/>
        </w:rPr>
        <w:br/>
      </w:r>
      <w:r>
        <w:rPr>
          <w:rFonts w:ascii="Times New Roman" w:hAnsi="Times New Roman" w:cs="Times New Roman"/>
        </w:rPr>
        <w:t>2009 m. spalio 2 d. įsakymu Nr. 5-V-712 „Dėl Rusijos Federacijos piliečių, vykstančių tranzitu per Lietuvos Respublikos teritoriją, kontrolės tvarkos aprašo patvirtinimo“.</w:t>
      </w:r>
    </w:p>
    <w:p w14:paraId="77265816" w14:textId="4F03957C"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bCs/>
        </w:rPr>
        <w:t>Policijos STS veikla tai – asmenų su STD (supaprastintas tranzito dokumentas) vykstančių automobiliais iš ir į Kaliningrado sritį per Lietuvos Respublikos teritoriją kontrolė šalies viduje ir vykstančių traukiniu su STGD (supaprastinto tranzito geležinkeliu dokumentas) kontrolė</w:t>
      </w:r>
      <w:r w:rsidR="008D3F15">
        <w:rPr>
          <w:rFonts w:ascii="Times New Roman" w:hAnsi="Times New Roman" w:cs="Times New Roman"/>
          <w:bCs/>
        </w:rPr>
        <w:t xml:space="preserve"> ir šių asmenų galimų pažeidimų prevencija</w:t>
      </w:r>
      <w:r>
        <w:rPr>
          <w:rFonts w:ascii="Times New Roman" w:hAnsi="Times New Roman" w:cs="Times New Roman"/>
          <w:bCs/>
        </w:rPr>
        <w:t>.</w:t>
      </w:r>
    </w:p>
    <w:p w14:paraId="150E4459"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bCs/>
        </w:rPr>
        <w:t xml:space="preserve">Policija STS veiklą vykdo, atlikdama viešosios tvarkos ir eismo priežiūrą ir tam naudodama skiriamaisiais ženklais pažymėtus policijos automobilius bei specialiais skiriamaisiais </w:t>
      </w:r>
      <w:r>
        <w:rPr>
          <w:rFonts w:ascii="Times New Roman" w:hAnsi="Times New Roman" w:cs="Times New Roman"/>
          <w:bCs/>
        </w:rPr>
        <w:lastRenderedPageBreak/>
        <w:t xml:space="preserve">ženklais nepažymėtus automobilius, taip pat vykdančius eismo kontrolę, kurie Metodikoje bendrai suprantami kaip </w:t>
      </w:r>
      <w:r>
        <w:rPr>
          <w:rFonts w:ascii="Times New Roman" w:hAnsi="Times New Roman" w:cs="Times New Roman"/>
          <w:b/>
          <w:bCs/>
        </w:rPr>
        <w:t>STS automobiliai</w:t>
      </w:r>
      <w:r>
        <w:rPr>
          <w:rFonts w:ascii="Times New Roman" w:hAnsi="Times New Roman" w:cs="Times New Roman"/>
          <w:bCs/>
        </w:rPr>
        <w:t>.</w:t>
      </w:r>
    </w:p>
    <w:p w14:paraId="5F60C3A7"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bCs/>
        </w:rPr>
        <w:t>Vykdydama STS veiklą, policija patiria šias veiklos išlaidų rūšis:</w:t>
      </w:r>
    </w:p>
    <w:p w14:paraId="1E3EB5C9" w14:textId="77777777" w:rsidR="00C07A69" w:rsidRDefault="00072BBC" w:rsidP="00594572">
      <w:pPr>
        <w:pStyle w:val="Default"/>
        <w:numPr>
          <w:ilvl w:val="1"/>
          <w:numId w:val="1"/>
        </w:numPr>
        <w:tabs>
          <w:tab w:val="left" w:pos="1276"/>
          <w:tab w:val="left" w:pos="1418"/>
          <w:tab w:val="left" w:pos="1701"/>
        </w:tabs>
        <w:spacing w:line="276" w:lineRule="auto"/>
        <w:ind w:left="0" w:firstLine="709"/>
        <w:jc w:val="both"/>
        <w:rPr>
          <w:rFonts w:ascii="Times New Roman" w:hAnsi="Times New Roman" w:cs="Times New Roman"/>
          <w:bCs/>
        </w:rPr>
      </w:pPr>
      <w:r>
        <w:rPr>
          <w:rFonts w:ascii="Times New Roman" w:hAnsi="Times New Roman" w:cs="Times New Roman"/>
          <w:bCs/>
        </w:rPr>
        <w:t>STS automobilių eksploatacinės išlaidos.</w:t>
      </w:r>
    </w:p>
    <w:p w14:paraId="66D0AADF" w14:textId="77777777" w:rsidR="00C07A69" w:rsidRDefault="00072BBC" w:rsidP="00594572">
      <w:pPr>
        <w:pStyle w:val="Default"/>
        <w:numPr>
          <w:ilvl w:val="1"/>
          <w:numId w:val="1"/>
        </w:numPr>
        <w:tabs>
          <w:tab w:val="left" w:pos="1276"/>
          <w:tab w:val="left" w:pos="1418"/>
          <w:tab w:val="left" w:pos="1701"/>
        </w:tabs>
        <w:spacing w:line="276" w:lineRule="auto"/>
        <w:ind w:left="0" w:firstLine="709"/>
        <w:jc w:val="both"/>
        <w:rPr>
          <w:rFonts w:ascii="Times New Roman" w:hAnsi="Times New Roman" w:cs="Times New Roman"/>
          <w:bCs/>
        </w:rPr>
      </w:pPr>
      <w:r>
        <w:rPr>
          <w:rFonts w:ascii="Times New Roman" w:hAnsi="Times New Roman" w:cs="Times New Roman"/>
          <w:bCs/>
        </w:rPr>
        <w:t>STS automobilių nuoma.</w:t>
      </w:r>
    </w:p>
    <w:p w14:paraId="6E381875" w14:textId="36FA3886" w:rsidR="00C07A69" w:rsidRDefault="00072BBC" w:rsidP="00594572">
      <w:pPr>
        <w:pStyle w:val="Default"/>
        <w:numPr>
          <w:ilvl w:val="1"/>
          <w:numId w:val="1"/>
        </w:numPr>
        <w:tabs>
          <w:tab w:val="left" w:pos="1276"/>
          <w:tab w:val="left" w:pos="1418"/>
          <w:tab w:val="left" w:pos="1701"/>
        </w:tabs>
        <w:spacing w:line="276" w:lineRule="auto"/>
        <w:ind w:left="0" w:firstLine="709"/>
        <w:jc w:val="both"/>
        <w:rPr>
          <w:rFonts w:ascii="Times New Roman" w:hAnsi="Times New Roman" w:cs="Times New Roman"/>
        </w:rPr>
      </w:pPr>
      <w:r>
        <w:rPr>
          <w:rFonts w:ascii="Times New Roman" w:hAnsi="Times New Roman" w:cs="Times New Roman"/>
          <w:bCs/>
        </w:rPr>
        <w:t>P</w:t>
      </w:r>
      <w:r w:rsidR="00484FEF">
        <w:rPr>
          <w:rFonts w:ascii="Times New Roman" w:hAnsi="Times New Roman" w:cs="Times New Roman"/>
          <w:bCs/>
        </w:rPr>
        <w:t>olicijos pareigūnų</w:t>
      </w:r>
      <w:r>
        <w:rPr>
          <w:rFonts w:ascii="Times New Roman" w:hAnsi="Times New Roman" w:cs="Times New Roman"/>
          <w:bCs/>
        </w:rPr>
        <w:t>, užtikrinančių Rusijos Federacijos piliečių tranzito per Lietuvos Respublikos teritoriją geležinkeliu ir sausumos keliais kontrolę, darbo užmokesčio bei su darbo santykiais susijusių darbdavio įsipareigojimų išlaidos.</w:t>
      </w:r>
      <w:r w:rsidR="004218CA">
        <w:rPr>
          <w:rFonts w:ascii="Times New Roman" w:hAnsi="Times New Roman" w:cs="Times New Roman"/>
          <w:bCs/>
        </w:rPr>
        <w:t xml:space="preserve"> </w:t>
      </w:r>
      <w:r w:rsidR="004218CA" w:rsidRPr="004218CA">
        <w:rPr>
          <w:rFonts w:ascii="Times New Roman" w:hAnsi="Times New Roman" w:cs="Times New Roman"/>
          <w:bCs/>
        </w:rPr>
        <w:t xml:space="preserve">Policijos pareigūnų, vykdančių STS kontrolės funkciją, pareigybių aprašymuose turi būti numatyta bent viena iš šių funkcijų: 1) </w:t>
      </w:r>
      <w:r w:rsidR="004218CA" w:rsidRPr="004218CA">
        <w:rPr>
          <w:rFonts w:ascii="Times New Roman" w:hAnsi="Times New Roman" w:cs="Times New Roman"/>
        </w:rPr>
        <w:t>nelegalios migracijos kontrolė; 2) Rusijos Federacijos piliečių tranzito per Lietuvos Respublikos teritoriją geležinkeliu ir sausumos keliais kontrolė.</w:t>
      </w:r>
    </w:p>
    <w:p w14:paraId="790F2C79" w14:textId="77777777" w:rsidR="00C07A69" w:rsidRDefault="00072BBC" w:rsidP="00594572">
      <w:pPr>
        <w:pStyle w:val="Default"/>
        <w:numPr>
          <w:ilvl w:val="0"/>
          <w:numId w:val="1"/>
        </w:numPr>
        <w:tabs>
          <w:tab w:val="left" w:pos="1134"/>
          <w:tab w:val="left" w:pos="1418"/>
          <w:tab w:val="left" w:pos="1701"/>
        </w:tabs>
        <w:spacing w:line="276" w:lineRule="auto"/>
        <w:ind w:left="0" w:firstLine="720"/>
        <w:jc w:val="both"/>
        <w:rPr>
          <w:rFonts w:ascii="Times New Roman" w:hAnsi="Times New Roman" w:cs="Times New Roman"/>
        </w:rPr>
      </w:pPr>
      <w:r>
        <w:rPr>
          <w:rFonts w:ascii="Times New Roman" w:hAnsi="Times New Roman" w:cs="Times New Roman"/>
        </w:rPr>
        <w:t xml:space="preserve">Visos Metodikos 5.1.-5.3. punktuose nurodytos išlaidos dalinai finansuojamos Finansinės paramos lėšomis, atsižvelgiant į STS veiklos proporciją </w:t>
      </w:r>
      <w:r>
        <w:rPr>
          <w:rFonts w:ascii="Times New Roman" w:hAnsi="Times New Roman" w:cs="Times New Roman"/>
          <w:bCs/>
        </w:rPr>
        <w:t>bendroje viešosios tvarkos ir eismo priežiūros veikloje. Siekiant supaprastinti STS veiklos proporcijos nustatymą ir pagrindimą, Metodikos II dalyje pateikiamas metinės STS veiklos proporcijos, išreikštos procentais, apskaičiavimas, nereikalaujantis teikti ir vertinti</w:t>
      </w:r>
      <w:r>
        <w:rPr>
          <w:rFonts w:ascii="Times New Roman" w:hAnsi="Times New Roman" w:cs="Times New Roman"/>
        </w:rPr>
        <w:t xml:space="preserve"> </w:t>
      </w:r>
      <w:r>
        <w:rPr>
          <w:rFonts w:ascii="Times New Roman" w:hAnsi="Times New Roman" w:cs="Times New Roman"/>
          <w:bCs/>
        </w:rPr>
        <w:t>PD veiklos vykdymo ataskaitų.</w:t>
      </w:r>
    </w:p>
    <w:p w14:paraId="562A146B"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rPr>
        <w:t>Siekiant supaprastinti Metodikos 5.1 punkte nurodytų PD patiriamų išlaidų finansavimą, Metodikos III dalyje nustatomas fiksuotasis STS automobilių eksploatacinių išlaidų įkainis. Taikant fiksuotąjį įkainį, tinkamos finansuoti STS automobilių eksploatacinės išlaidos apskaičiuojamos ir apmokamos remiantis PD teikiamais faktiniais naudojamų STS automobilių ridų duomenimis, neteikiant ir nevertinant PD transporto priemonių eksploatacinių išlaidų pagrindimo ir apmokėjimo dokumentų.</w:t>
      </w:r>
    </w:p>
    <w:p w14:paraId="5F4DBAE3" w14:textId="7E5B103F" w:rsidR="009203C8" w:rsidRDefault="006C42C3"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rPr>
        <w:t xml:space="preserve">PD patirtas išlaidas </w:t>
      </w:r>
      <w:r w:rsidR="002C6CBD">
        <w:rPr>
          <w:rFonts w:ascii="Times New Roman" w:hAnsi="Times New Roman" w:cs="Times New Roman"/>
        </w:rPr>
        <w:t xml:space="preserve">deklaruoja </w:t>
      </w:r>
      <w:r w:rsidR="00FC1782">
        <w:rPr>
          <w:rFonts w:ascii="Times New Roman" w:hAnsi="Times New Roman" w:cs="Times New Roman"/>
        </w:rPr>
        <w:t xml:space="preserve">teikdama </w:t>
      </w:r>
      <w:r>
        <w:rPr>
          <w:rFonts w:ascii="Times New Roman" w:hAnsi="Times New Roman" w:cs="Times New Roman"/>
        </w:rPr>
        <w:t xml:space="preserve">CPVA </w:t>
      </w:r>
      <w:r w:rsidR="002C6CBD">
        <w:rPr>
          <w:rFonts w:ascii="Times New Roman" w:hAnsi="Times New Roman" w:cs="Times New Roman"/>
        </w:rPr>
        <w:t xml:space="preserve">Finansinės paramos lėšomis finansuojamo projekto sutartyje numatytą </w:t>
      </w:r>
      <w:r>
        <w:rPr>
          <w:rFonts w:ascii="Times New Roman" w:hAnsi="Times New Roman" w:cs="Times New Roman"/>
        </w:rPr>
        <w:t>išlaidų deklaravimo dokumentą (toliau – IDD)</w:t>
      </w:r>
      <w:r w:rsidR="002C6CBD">
        <w:rPr>
          <w:rFonts w:ascii="Times New Roman" w:hAnsi="Times New Roman" w:cs="Times New Roman"/>
        </w:rPr>
        <w:t xml:space="preserve"> – prašymą išlaidoms apmokėti, prašymą išlaidoms kompensuoti arba išlaidų deklaraciją.</w:t>
      </w:r>
    </w:p>
    <w:p w14:paraId="275E2D75" w14:textId="77777777" w:rsidR="00C07A69" w:rsidRDefault="00C07A69" w:rsidP="00594572">
      <w:pPr>
        <w:pStyle w:val="Default"/>
        <w:tabs>
          <w:tab w:val="left" w:pos="1134"/>
        </w:tabs>
        <w:spacing w:line="276" w:lineRule="auto"/>
        <w:jc w:val="both"/>
        <w:rPr>
          <w:rFonts w:ascii="Times New Roman" w:hAnsi="Times New Roman" w:cs="Times New Roman"/>
        </w:rPr>
      </w:pPr>
    </w:p>
    <w:p w14:paraId="30AAC0B4" w14:textId="77777777" w:rsidR="00194CE4" w:rsidRDefault="00194CE4" w:rsidP="00594572">
      <w:pPr>
        <w:pStyle w:val="Default"/>
        <w:tabs>
          <w:tab w:val="left" w:pos="1134"/>
        </w:tabs>
        <w:spacing w:line="276" w:lineRule="auto"/>
        <w:jc w:val="both"/>
        <w:rPr>
          <w:rFonts w:ascii="Times New Roman" w:hAnsi="Times New Roman" w:cs="Times New Roman"/>
        </w:rPr>
      </w:pPr>
    </w:p>
    <w:p w14:paraId="63029A26" w14:textId="77777777" w:rsidR="00C07A69" w:rsidRDefault="00072BBC" w:rsidP="00594572">
      <w:pPr>
        <w:tabs>
          <w:tab w:val="left" w:pos="0"/>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II. METINĖS STS VEIKLOS PROPORCIJOS APSKAIČIAVIMAS</w:t>
      </w:r>
    </w:p>
    <w:p w14:paraId="75E089EE" w14:textId="77777777" w:rsidR="00C07A69" w:rsidRDefault="00C07A69" w:rsidP="00594572">
      <w:pPr>
        <w:tabs>
          <w:tab w:val="left" w:pos="0"/>
        </w:tabs>
        <w:spacing w:after="0" w:line="276" w:lineRule="auto"/>
        <w:jc w:val="center"/>
        <w:rPr>
          <w:rFonts w:ascii="Times New Roman" w:hAnsi="Times New Roman" w:cs="Times New Roman"/>
        </w:rPr>
      </w:pPr>
    </w:p>
    <w:p w14:paraId="42185F67" w14:textId="0113EBAD"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rPr>
        <w:t xml:space="preserve">Pasibaigus kiekvieniems kalendoriniams metams ne vėliau kaip </w:t>
      </w:r>
      <w:r w:rsidRPr="00F13607">
        <w:rPr>
          <w:rFonts w:ascii="Times New Roman" w:hAnsi="Times New Roman" w:cs="Times New Roman"/>
          <w:bCs/>
        </w:rPr>
        <w:t xml:space="preserve">iki </w:t>
      </w:r>
      <w:r w:rsidR="0060565A">
        <w:rPr>
          <w:rFonts w:ascii="Times New Roman" w:hAnsi="Times New Roman" w:cs="Times New Roman"/>
          <w:bCs/>
        </w:rPr>
        <w:t>IDD</w:t>
      </w:r>
      <w:r w:rsidR="00960EA9" w:rsidRPr="00F13607">
        <w:rPr>
          <w:rFonts w:ascii="Times New Roman" w:hAnsi="Times New Roman" w:cs="Times New Roman"/>
          <w:bCs/>
        </w:rPr>
        <w:t xml:space="preserve"> </w:t>
      </w:r>
      <w:r w:rsidR="00F13607" w:rsidRPr="00F13607">
        <w:rPr>
          <w:rFonts w:ascii="Times New Roman" w:hAnsi="Times New Roman" w:cs="Times New Roman"/>
          <w:bCs/>
        </w:rPr>
        <w:t>pa</w:t>
      </w:r>
      <w:r w:rsidRPr="00F13607">
        <w:rPr>
          <w:rFonts w:ascii="Times New Roman" w:hAnsi="Times New Roman" w:cs="Times New Roman"/>
          <w:bCs/>
        </w:rPr>
        <w:t>teikimo</w:t>
      </w:r>
      <w:r w:rsidRPr="00F13607">
        <w:rPr>
          <w:rFonts w:ascii="Times New Roman" w:hAnsi="Times New Roman" w:cs="Times New Roman"/>
          <w:bCs/>
          <w:color w:val="auto"/>
        </w:rPr>
        <w:t xml:space="preserve"> PD </w:t>
      </w:r>
      <w:r w:rsidRPr="00F13607">
        <w:rPr>
          <w:rFonts w:ascii="Times New Roman" w:hAnsi="Times New Roman" w:cs="Times New Roman"/>
          <w:bCs/>
        </w:rPr>
        <w:t xml:space="preserve">apskaičiuoja ir suderina su CPVA praėjusių metų STS veiklos proporciją. PD </w:t>
      </w:r>
      <w:r w:rsidR="002A3F03" w:rsidRPr="00F13607">
        <w:rPr>
          <w:rFonts w:ascii="Times New Roman" w:hAnsi="Times New Roman" w:cs="Times New Roman"/>
          <w:bCs/>
        </w:rPr>
        <w:t xml:space="preserve">iki </w:t>
      </w:r>
      <w:r w:rsidR="00F13607" w:rsidRPr="00F13607">
        <w:rPr>
          <w:rFonts w:ascii="Times New Roman" w:hAnsi="Times New Roman" w:cs="Times New Roman"/>
          <w:bCs/>
        </w:rPr>
        <w:t xml:space="preserve">einamųjų metų </w:t>
      </w:r>
      <w:r w:rsidR="002A3F03" w:rsidRPr="00F13607">
        <w:rPr>
          <w:rFonts w:ascii="Times New Roman" w:hAnsi="Times New Roman" w:cs="Times New Roman"/>
        </w:rPr>
        <w:t xml:space="preserve">pirmojo </w:t>
      </w:r>
      <w:r w:rsidR="00BE3CC3">
        <w:rPr>
          <w:rFonts w:ascii="Times New Roman" w:hAnsi="Times New Roman" w:cs="Times New Roman"/>
        </w:rPr>
        <w:t xml:space="preserve">ketvirčio pirmojo </w:t>
      </w:r>
      <w:r w:rsidR="002A3F03" w:rsidRPr="00F13607">
        <w:rPr>
          <w:rFonts w:ascii="Times New Roman" w:hAnsi="Times New Roman" w:cs="Times New Roman"/>
        </w:rPr>
        <w:t xml:space="preserve">mėnesio </w:t>
      </w:r>
      <w:r w:rsidR="00F13607" w:rsidRPr="00F13607">
        <w:rPr>
          <w:rFonts w:ascii="Times New Roman" w:hAnsi="Times New Roman" w:cs="Times New Roman"/>
        </w:rPr>
        <w:t>paskutinės darbo</w:t>
      </w:r>
      <w:r w:rsidR="002A3F03" w:rsidRPr="00E21C4B">
        <w:rPr>
          <w:rFonts w:ascii="Times New Roman" w:hAnsi="Times New Roman" w:cs="Times New Roman"/>
        </w:rPr>
        <w:t xml:space="preserve"> dienos </w:t>
      </w:r>
      <w:r w:rsidR="002A3F03">
        <w:rPr>
          <w:rFonts w:ascii="Times New Roman" w:hAnsi="Times New Roman" w:cs="Times New Roman"/>
        </w:rPr>
        <w:t>pa</w:t>
      </w:r>
      <w:r>
        <w:rPr>
          <w:rFonts w:ascii="Times New Roman" w:hAnsi="Times New Roman" w:cs="Times New Roman"/>
          <w:bCs/>
        </w:rPr>
        <w:t>teikia CPVA metinės STS veiklos proporcijos apskaičiavimą pagal Metodikos 1 priedą, duomenis apie STS automobilių skaičių ir Valstybės sienos apsaugos tarnybos</w:t>
      </w:r>
      <w:r w:rsidR="00DE3E5F">
        <w:rPr>
          <w:rFonts w:ascii="Times New Roman" w:hAnsi="Times New Roman" w:cs="Times New Roman"/>
          <w:bCs/>
        </w:rPr>
        <w:t xml:space="preserve"> prie Lietuvos Respublikos vidaus reikalų ministerijos</w:t>
      </w:r>
      <w:r>
        <w:rPr>
          <w:rFonts w:ascii="Times New Roman" w:hAnsi="Times New Roman" w:cs="Times New Roman"/>
          <w:bCs/>
        </w:rPr>
        <w:t xml:space="preserve"> (toliau – VSAT) teikiamus duomenis apie </w:t>
      </w:r>
      <w:r>
        <w:rPr>
          <w:rFonts w:ascii="Times New Roman" w:eastAsiaTheme="minorEastAsia" w:hAnsi="Times New Roman" w:cs="Times New Roman"/>
        </w:rPr>
        <w:t>metinį automobilių su Rusijos Federacijos valstybiniais numeriais, įvažiavusių į Lietuvos Respublikos teritoriją, skaičių</w:t>
      </w:r>
      <w:r>
        <w:rPr>
          <w:rFonts w:ascii="Times New Roman" w:hAnsi="Times New Roman" w:cs="Times New Roman"/>
          <w:bCs/>
        </w:rPr>
        <w:t>. CPVA patikrin</w:t>
      </w:r>
      <w:r w:rsidR="00F13607">
        <w:rPr>
          <w:rFonts w:ascii="Times New Roman" w:hAnsi="Times New Roman" w:cs="Times New Roman"/>
          <w:bCs/>
        </w:rPr>
        <w:t>a</w:t>
      </w:r>
      <w:r>
        <w:rPr>
          <w:rFonts w:ascii="Times New Roman" w:hAnsi="Times New Roman" w:cs="Times New Roman"/>
          <w:bCs/>
        </w:rPr>
        <w:t xml:space="preserve"> ir įvertin</w:t>
      </w:r>
      <w:r w:rsidR="00F13607">
        <w:rPr>
          <w:rFonts w:ascii="Times New Roman" w:hAnsi="Times New Roman" w:cs="Times New Roman"/>
          <w:bCs/>
        </w:rPr>
        <w:t>a</w:t>
      </w:r>
      <w:r>
        <w:rPr>
          <w:rFonts w:ascii="Times New Roman" w:hAnsi="Times New Roman" w:cs="Times New Roman"/>
          <w:bCs/>
        </w:rPr>
        <w:t xml:space="preserve"> PD apskaičiuotą STS veiklos proporciją</w:t>
      </w:r>
      <w:r w:rsidR="00F13607">
        <w:rPr>
          <w:rFonts w:ascii="Times New Roman" w:hAnsi="Times New Roman" w:cs="Times New Roman"/>
          <w:bCs/>
        </w:rPr>
        <w:t xml:space="preserve"> iki einamųjų metų </w:t>
      </w:r>
      <w:r w:rsidR="00BE3CC3">
        <w:rPr>
          <w:rFonts w:ascii="Times New Roman" w:hAnsi="Times New Roman" w:cs="Times New Roman"/>
          <w:bCs/>
        </w:rPr>
        <w:t xml:space="preserve">pirmojo ketvirčio </w:t>
      </w:r>
      <w:r w:rsidR="00F13607">
        <w:rPr>
          <w:rFonts w:ascii="Times New Roman" w:hAnsi="Times New Roman" w:cs="Times New Roman"/>
          <w:bCs/>
        </w:rPr>
        <w:t>antrojo mėnesio paskutinės darbo dienos ir</w:t>
      </w:r>
      <w:r>
        <w:rPr>
          <w:rFonts w:ascii="Times New Roman" w:hAnsi="Times New Roman" w:cs="Times New Roman"/>
          <w:bCs/>
        </w:rPr>
        <w:t xml:space="preserve"> </w:t>
      </w:r>
      <w:r w:rsidR="00DE3E5F">
        <w:rPr>
          <w:rFonts w:ascii="Times New Roman" w:hAnsi="Times New Roman" w:cs="Times New Roman"/>
          <w:bCs/>
        </w:rPr>
        <w:t xml:space="preserve">raštu arba el. paštu </w:t>
      </w:r>
      <w:r>
        <w:rPr>
          <w:rFonts w:ascii="Times New Roman" w:hAnsi="Times New Roman" w:cs="Times New Roman"/>
          <w:bCs/>
        </w:rPr>
        <w:t xml:space="preserve">informuoja PD apie STS veiklos proporcijos patvirtinimą. CPVA, nustačiusi STS veiklos proporcijos apskaičiavimo neatitikimų, </w:t>
      </w:r>
      <w:r w:rsidR="00DE3E5F">
        <w:rPr>
          <w:rFonts w:ascii="Times New Roman" w:hAnsi="Times New Roman" w:cs="Times New Roman"/>
          <w:bCs/>
        </w:rPr>
        <w:t xml:space="preserve">el. paštu </w:t>
      </w:r>
      <w:r>
        <w:rPr>
          <w:rFonts w:ascii="Times New Roman" w:hAnsi="Times New Roman" w:cs="Times New Roman"/>
          <w:bCs/>
        </w:rPr>
        <w:t>teikia savo pastabas PD ir prašo patikslinti informaciją.</w:t>
      </w:r>
      <w:r w:rsidR="00BE3CC3">
        <w:rPr>
          <w:rFonts w:ascii="Times New Roman" w:hAnsi="Times New Roman" w:cs="Times New Roman"/>
          <w:bCs/>
        </w:rPr>
        <w:t xml:space="preserve"> </w:t>
      </w:r>
      <w:r w:rsidR="00DE3E5F">
        <w:rPr>
          <w:rFonts w:ascii="Times New Roman" w:hAnsi="Times New Roman" w:cs="Times New Roman"/>
          <w:bCs/>
        </w:rPr>
        <w:t>Suderinus ir patvirtinus STS veiklos proporciją</w:t>
      </w:r>
      <w:r w:rsidR="0064588E">
        <w:rPr>
          <w:rFonts w:ascii="Times New Roman" w:hAnsi="Times New Roman" w:cs="Times New Roman"/>
          <w:bCs/>
        </w:rPr>
        <w:t>,</w:t>
      </w:r>
      <w:r w:rsidR="00DE3E5F">
        <w:rPr>
          <w:rFonts w:ascii="Times New Roman" w:hAnsi="Times New Roman" w:cs="Times New Roman"/>
          <w:bCs/>
        </w:rPr>
        <w:t xml:space="preserve"> </w:t>
      </w:r>
      <w:r w:rsidR="00BE3CC3">
        <w:rPr>
          <w:rFonts w:ascii="Times New Roman" w:hAnsi="Times New Roman" w:cs="Times New Roman"/>
          <w:bCs/>
        </w:rPr>
        <w:t xml:space="preserve">PD </w:t>
      </w:r>
      <w:r w:rsidR="0060565A">
        <w:rPr>
          <w:rFonts w:ascii="Times New Roman" w:hAnsi="Times New Roman" w:cs="Times New Roman"/>
          <w:bCs/>
        </w:rPr>
        <w:t xml:space="preserve">teikia IDD </w:t>
      </w:r>
      <w:r w:rsidR="00BE3CC3" w:rsidRPr="00F13607">
        <w:rPr>
          <w:rFonts w:ascii="Times New Roman" w:hAnsi="Times New Roman" w:cs="Times New Roman"/>
          <w:bCs/>
        </w:rPr>
        <w:t xml:space="preserve">už praėjusius metus </w:t>
      </w:r>
      <w:r w:rsidR="00BE3CC3">
        <w:rPr>
          <w:rFonts w:ascii="Times New Roman" w:hAnsi="Times New Roman" w:cs="Times New Roman"/>
          <w:bCs/>
        </w:rPr>
        <w:t>iki einamųjų metų antrojo ketvirčio pirmojo mėnesio paskutinės darbo dienos.</w:t>
      </w:r>
    </w:p>
    <w:p w14:paraId="3C10DAA5"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rPr>
        <w:lastRenderedPageBreak/>
        <w:t>Metinė STS veiklos proporcija (13 proc.) 2014 metams laikoma bazine, nes buvo nustatyta įvertinus faktinį PD STS veiklos vykdymą pagal pateiktas 2014 m. STS veiklos ataskaitas (veiklos vykdymo mėnesio ataskaitas), kuriose pareigūnai detaliai fiksuodavo STS veiklos ridą.</w:t>
      </w:r>
      <w:r>
        <w:rPr>
          <w:rFonts w:ascii="Times New Roman" w:hAnsi="Times New Roman" w:cs="Times New Roman"/>
          <w:bCs/>
          <w:highlight w:val="yellow"/>
        </w:rPr>
        <w:t xml:space="preserve"> </w:t>
      </w:r>
    </w:p>
    <w:p w14:paraId="6DA0B8D1"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rPr>
        <w:t xml:space="preserve">Vėlesnių nei 2014 m. metų STS veiklos proporcijos skaičiuojamos ne vertinant PD STS veiklos ataskaitas (veiklos vykdymo mėnesio ataskaitas), bet lyginant faktinių skaičiuojamųjų metų </w:t>
      </w:r>
      <w:r>
        <w:rPr>
          <w:rFonts w:ascii="Times New Roman" w:hAnsi="Times New Roman" w:cs="Times New Roman"/>
        </w:rPr>
        <w:t>policijos STS automobilių skaičiaus ir automobilių su Rusijos Federacijos valstybiniais numeriais srauto šalies teritorijoje santykį su analogiškais 2014 m. duomenimis.</w:t>
      </w:r>
    </w:p>
    <w:p w14:paraId="49DF11B4"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Metodikoje </w:t>
      </w:r>
      <w:r>
        <w:rPr>
          <w:rFonts w:ascii="Times New Roman" w:hAnsi="Times New Roman" w:cs="Times New Roman"/>
        </w:rPr>
        <w:t xml:space="preserve">STS veiklos proporcija skaičiuojama STS automobiliams tenkančio šalies teritorijoje judančių automobilių </w:t>
      </w:r>
      <w:r>
        <w:rPr>
          <w:rFonts w:ascii="Times New Roman" w:hAnsi="Times New Roman" w:cs="Times New Roman"/>
          <w:bCs/>
        </w:rPr>
        <w:t>su Rusijos Federacijos valstybiniais numeriais</w:t>
      </w:r>
      <w:r>
        <w:rPr>
          <w:rFonts w:ascii="Times New Roman" w:hAnsi="Times New Roman" w:cs="Times New Roman"/>
        </w:rPr>
        <w:t xml:space="preserve"> per einamuosius metus srauto dalį sugretinant su 2014 m. baziniais duomenimis pagal </w:t>
      </w:r>
      <w:r>
        <w:rPr>
          <w:rFonts w:ascii="Times New Roman" w:hAnsi="Times New Roman" w:cs="Times New Roman"/>
          <w:bCs/>
          <w:color w:val="00000A"/>
        </w:rPr>
        <w:t xml:space="preserve">bazinį STS veiklos koeficientą </w:t>
      </w:r>
      <m:oMath>
        <m:sSub>
          <m:sSubPr>
            <m:ctrlPr>
              <w:rPr>
                <w:rFonts w:ascii="Cambria Math" w:hAnsi="Cambria Math"/>
              </w:rPr>
            </m:ctrlPr>
          </m:sSubPr>
          <m:e>
            <m:r>
              <w:rPr>
                <w:rFonts w:ascii="Cambria Math" w:hAnsi="Cambria Math"/>
              </w:rPr>
              <m:t>k</m:t>
            </m:r>
          </m:e>
          <m:sub>
            <m:r>
              <w:rPr>
                <w:rFonts w:ascii="Cambria Math" w:hAnsi="Cambria Math"/>
              </w:rPr>
              <m:t>2014metų</m:t>
            </m:r>
          </m:sub>
        </m:sSub>
      </m:oMath>
      <w:r>
        <w:rPr>
          <w:rFonts w:ascii="Times New Roman" w:eastAsiaTheme="minorEastAsia" w:hAnsi="Times New Roman" w:cs="Times New Roman"/>
        </w:rPr>
        <w:t>:</w:t>
      </w:r>
    </w:p>
    <w:p w14:paraId="0DB6EFE6" w14:textId="77777777" w:rsidR="00C07A69" w:rsidRDefault="00C07A69" w:rsidP="00594572">
      <w:pPr>
        <w:pStyle w:val="Default"/>
        <w:tabs>
          <w:tab w:val="left" w:pos="1134"/>
        </w:tabs>
        <w:spacing w:line="276" w:lineRule="auto"/>
        <w:jc w:val="both"/>
        <w:rPr>
          <w:rFonts w:ascii="Times New Roman" w:hAnsi="Times New Roman" w:cs="Times New Roman"/>
        </w:rPr>
      </w:pPr>
    </w:p>
    <w:p w14:paraId="3E1E054D" w14:textId="77777777" w:rsidR="00C07A69" w:rsidRDefault="006934F7" w:rsidP="00594572">
      <w:pPr>
        <w:pStyle w:val="Default"/>
        <w:tabs>
          <w:tab w:val="left" w:pos="1134"/>
        </w:tabs>
        <w:spacing w:line="276" w:lineRule="auto"/>
        <w:jc w:val="center"/>
        <w:rPr>
          <w:rFonts w:ascii="Times New Roman" w:hAnsi="Times New Roman" w:cs="Times New Roman"/>
        </w:rPr>
      </w:pPr>
      <m:oMath>
        <m:sSub>
          <m:sSubPr>
            <m:ctrlPr>
              <w:rPr>
                <w:rFonts w:ascii="Cambria Math" w:hAnsi="Cambria Math"/>
              </w:rPr>
            </m:ctrlPr>
          </m:sSubPr>
          <m:e>
            <m:r>
              <w:rPr>
                <w:rFonts w:ascii="Cambria Math" w:hAnsi="Cambria Math"/>
              </w:rPr>
              <m:t>STS</m:t>
            </m:r>
          </m:e>
          <m:sub>
            <m:r>
              <w:rPr>
                <w:rFonts w:ascii="Cambria Math" w:hAnsi="Cambria Math"/>
              </w:rPr>
              <m:t>nmetų</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sSub>
                  <m:sSubPr>
                    <m:ctrlPr>
                      <w:rPr>
                        <w:rFonts w:ascii="Cambria Math" w:hAnsi="Cambria Math"/>
                      </w:rPr>
                    </m:ctrlPr>
                  </m:sSubPr>
                  <m:e>
                    <m:r>
                      <w:rPr>
                        <w:rFonts w:ascii="Cambria Math" w:hAnsi="Cambria Math"/>
                      </w:rPr>
                      <m:t>RF</m:t>
                    </m:r>
                  </m:e>
                  <m:sub>
                    <m:r>
                      <w:rPr>
                        <w:rFonts w:ascii="Cambria Math" w:hAnsi="Cambria Math"/>
                      </w:rPr>
                      <m:t>nmetų</m:t>
                    </m:r>
                  </m:sub>
                </m:sSub>
              </m:sub>
            </m:sSub>
          </m:num>
          <m:den>
            <m:sSub>
              <m:sSubPr>
                <m:ctrlPr>
                  <w:rPr>
                    <w:rFonts w:ascii="Cambria Math" w:hAnsi="Cambria Math"/>
                  </w:rPr>
                </m:ctrlPr>
              </m:sSubPr>
              <m:e>
                <m:sSub>
                  <m:sSubPr>
                    <m:ctrlPr>
                      <w:rPr>
                        <w:rFonts w:ascii="Cambria Math" w:hAnsi="Cambria Math"/>
                      </w:rPr>
                    </m:ctrlPr>
                  </m:sSubPr>
                  <m:e>
                    <m:r>
                      <w:rPr>
                        <w:rFonts w:ascii="Cambria Math" w:hAnsi="Cambria Math"/>
                      </w:rPr>
                      <m:t>A</m:t>
                    </m:r>
                  </m:e>
                  <m:sub>
                    <m:r>
                      <w:rPr>
                        <w:rFonts w:ascii="Cambria Math" w:hAnsi="Cambria Math"/>
                      </w:rPr>
                      <m:t>STS</m:t>
                    </m:r>
                  </m:sub>
                </m:sSub>
              </m:e>
              <m:sub>
                <m:r>
                  <w:rPr>
                    <w:rFonts w:ascii="Cambria Math" w:hAnsi="Cambria Math"/>
                  </w:rPr>
                  <m:t>nmetų</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2014metų</m:t>
            </m:r>
          </m:sub>
        </m:sSub>
      </m:oMath>
      <w:r w:rsidR="00072BBC">
        <w:rPr>
          <w:rFonts w:ascii="Times New Roman" w:eastAsiaTheme="minorEastAsia" w:hAnsi="Times New Roman" w:cs="Times New Roman"/>
        </w:rPr>
        <w:t xml:space="preserve"> </w:t>
      </w:r>
    </w:p>
    <w:p w14:paraId="20BE1E09" w14:textId="77777777" w:rsidR="00C07A69" w:rsidRDefault="00C07A69" w:rsidP="00594572">
      <w:pPr>
        <w:pStyle w:val="Default"/>
        <w:tabs>
          <w:tab w:val="left" w:pos="1134"/>
        </w:tabs>
        <w:spacing w:line="276" w:lineRule="auto"/>
        <w:jc w:val="both"/>
        <w:rPr>
          <w:rFonts w:ascii="Times New Roman" w:hAnsi="Times New Roman" w:cs="Times New Roman"/>
        </w:rPr>
      </w:pPr>
    </w:p>
    <w:p w14:paraId="3893088D" w14:textId="7FFCE36E" w:rsidR="00C07A69" w:rsidRDefault="00072BBC" w:rsidP="00594572">
      <w:pPr>
        <w:pStyle w:val="Default"/>
        <w:tabs>
          <w:tab w:val="left" w:pos="1134"/>
        </w:tabs>
        <w:spacing w:line="276" w:lineRule="auto"/>
        <w:jc w:val="both"/>
        <w:rPr>
          <w:rFonts w:ascii="Times New Roman" w:hAnsi="Times New Roman" w:cs="Times New Roman"/>
        </w:rPr>
      </w:pPr>
      <w:r>
        <w:rPr>
          <w:rFonts w:ascii="Times New Roman" w:hAnsi="Times New Roman" w:cs="Times New Roman"/>
        </w:rPr>
        <w:t>kur:</w:t>
      </w:r>
    </w:p>
    <w:p w14:paraId="7BBBD56C" w14:textId="77777777" w:rsidR="00C07A69" w:rsidRDefault="00C07A69" w:rsidP="00594572">
      <w:pPr>
        <w:pStyle w:val="Default"/>
        <w:tabs>
          <w:tab w:val="left" w:pos="1134"/>
        </w:tabs>
        <w:spacing w:line="276" w:lineRule="auto"/>
        <w:jc w:val="both"/>
        <w:rPr>
          <w:rFonts w:ascii="Times New Roman" w:hAnsi="Times New Roman" w:cs="Times New Roman"/>
        </w:rPr>
      </w:pPr>
    </w:p>
    <w:p w14:paraId="6FF78605" w14:textId="77777777" w:rsidR="00C07A69" w:rsidRDefault="00072BBC" w:rsidP="00594572">
      <w:pPr>
        <w:pStyle w:val="Default"/>
        <w:tabs>
          <w:tab w:val="left" w:pos="1134"/>
        </w:tabs>
        <w:spacing w:line="276" w:lineRule="auto"/>
        <w:jc w:val="both"/>
        <w:rPr>
          <w:rFonts w:ascii="Times New Roman" w:hAnsi="Times New Roman" w:cs="Times New Roman"/>
        </w:rPr>
      </w:pPr>
      <w:r>
        <w:rPr>
          <w:rFonts w:ascii="Times New Roman" w:hAnsi="Times New Roman" w:cs="Times New Roman"/>
          <w:i/>
        </w:rPr>
        <w:t>n</w:t>
      </w:r>
      <w:r>
        <w:rPr>
          <w:rFonts w:ascii="Times New Roman" w:hAnsi="Times New Roman" w:cs="Times New Roman"/>
        </w:rPr>
        <w:t xml:space="preserve"> – metai, kuriems skaičiuojamos išlaidos;</w:t>
      </w:r>
    </w:p>
    <w:p w14:paraId="05DD5C57" w14:textId="77777777" w:rsidR="00C07A69" w:rsidRDefault="006934F7" w:rsidP="00594572">
      <w:pPr>
        <w:pStyle w:val="Default"/>
        <w:tabs>
          <w:tab w:val="left" w:pos="1134"/>
        </w:tabs>
        <w:spacing w:line="276" w:lineRule="auto"/>
        <w:jc w:val="both"/>
        <w:rPr>
          <w:rFonts w:ascii="Times New Roman" w:eastAsiaTheme="minorEastAsia" w:hAnsi="Times New Roman" w:cs="Times New Roman"/>
        </w:rPr>
      </w:pPr>
      <m:oMath>
        <m:sSub>
          <m:sSubPr>
            <m:ctrlPr>
              <w:rPr>
                <w:rFonts w:ascii="Cambria Math" w:hAnsi="Cambria Math"/>
              </w:rPr>
            </m:ctrlPr>
          </m:sSubPr>
          <m:e>
            <m:r>
              <w:rPr>
                <w:rFonts w:ascii="Cambria Math" w:hAnsi="Cambria Math"/>
              </w:rPr>
              <m:t>STS</m:t>
            </m:r>
          </m:e>
          <m:sub>
            <m:r>
              <w:rPr>
                <w:rFonts w:ascii="Cambria Math" w:hAnsi="Cambria Math"/>
              </w:rPr>
              <m:t>nmetų</m:t>
            </m:r>
          </m:sub>
        </m:sSub>
      </m:oMath>
      <w:r w:rsidR="00072BBC">
        <w:rPr>
          <w:rFonts w:ascii="Times New Roman" w:eastAsiaTheme="minorEastAsia" w:hAnsi="Times New Roman" w:cs="Times New Roman"/>
        </w:rPr>
        <w:t xml:space="preserve"> – met</w:t>
      </w:r>
      <w:proofErr w:type="spellStart"/>
      <w:r w:rsidR="00072BBC">
        <w:rPr>
          <w:rFonts w:ascii="Times New Roman" w:eastAsiaTheme="minorEastAsia" w:hAnsi="Times New Roman" w:cs="Times New Roman"/>
        </w:rPr>
        <w:t>inė</w:t>
      </w:r>
      <w:proofErr w:type="spellEnd"/>
      <w:r w:rsidR="00072BBC">
        <w:rPr>
          <w:rFonts w:ascii="Times New Roman" w:eastAsiaTheme="minorEastAsia" w:hAnsi="Times New Roman" w:cs="Times New Roman"/>
        </w:rPr>
        <w:t xml:space="preserve"> STS veiklos proporcija (proc.);</w:t>
      </w:r>
    </w:p>
    <w:p w14:paraId="182C2616" w14:textId="77777777" w:rsidR="00C07A69" w:rsidRDefault="006934F7" w:rsidP="00594572">
      <w:pPr>
        <w:pStyle w:val="Default"/>
        <w:tabs>
          <w:tab w:val="left" w:pos="1134"/>
        </w:tabs>
        <w:spacing w:line="276" w:lineRule="auto"/>
        <w:jc w:val="both"/>
        <w:rPr>
          <w:rFonts w:ascii="Times New Roman" w:eastAsiaTheme="minorEastAsia" w:hAnsi="Times New Roman" w:cs="Times New Roman"/>
        </w:rPr>
      </w:pPr>
      <m:oMath>
        <m:sSub>
          <m:sSubPr>
            <m:ctrlPr>
              <w:rPr>
                <w:rFonts w:ascii="Cambria Math" w:hAnsi="Cambria Math"/>
              </w:rPr>
            </m:ctrlPr>
          </m:sSubPr>
          <m:e>
            <m:r>
              <w:rPr>
                <w:rFonts w:ascii="Cambria Math" w:hAnsi="Cambria Math"/>
              </w:rPr>
              <m:t>A</m:t>
            </m:r>
          </m:e>
          <m:sub>
            <m:sSub>
              <m:sSubPr>
                <m:ctrlPr>
                  <w:rPr>
                    <w:rFonts w:ascii="Cambria Math" w:hAnsi="Cambria Math"/>
                  </w:rPr>
                </m:ctrlPr>
              </m:sSubPr>
              <m:e>
                <m:r>
                  <w:rPr>
                    <w:rFonts w:ascii="Cambria Math" w:hAnsi="Cambria Math"/>
                  </w:rPr>
                  <m:t>RF</m:t>
                </m:r>
              </m:e>
              <m:sub>
                <m:r>
                  <w:rPr>
                    <w:rFonts w:ascii="Cambria Math" w:hAnsi="Cambria Math"/>
                  </w:rPr>
                  <m:t>nmetų</m:t>
                </m:r>
              </m:sub>
            </m:sSub>
          </m:sub>
        </m:sSub>
      </m:oMath>
      <w:r w:rsidR="00072BBC">
        <w:rPr>
          <w:rFonts w:ascii="Times New Roman" w:eastAsiaTheme="minorEastAsia" w:hAnsi="Times New Roman" w:cs="Times New Roman"/>
        </w:rPr>
        <w:t xml:space="preserve"> – metinis automobilių su Rusijos Federacijos valstybiniais numeriais, įvažiavusių į Lietuvos Respublikos teritoriją, skaičius (vnt.). Duomenis teikia VSAT;</w:t>
      </w:r>
    </w:p>
    <w:p w14:paraId="70BDE179" w14:textId="77777777" w:rsidR="00C07A69" w:rsidRDefault="006934F7" w:rsidP="00594572">
      <w:pPr>
        <w:pStyle w:val="Default"/>
        <w:tabs>
          <w:tab w:val="left" w:pos="1134"/>
        </w:tabs>
        <w:spacing w:line="276" w:lineRule="auto"/>
        <w:jc w:val="both"/>
        <w:rPr>
          <w:rFonts w:ascii="Times New Roman" w:eastAsiaTheme="minorEastAsia" w:hAnsi="Times New Roman" w:cs="Times New Roman"/>
        </w:rPr>
      </w:pPr>
      <m:oMath>
        <m:sSub>
          <m:sSubPr>
            <m:ctrlPr>
              <w:rPr>
                <w:rFonts w:ascii="Cambria Math" w:hAnsi="Cambria Math"/>
              </w:rPr>
            </m:ctrlPr>
          </m:sSubPr>
          <m:e>
            <m:sSub>
              <m:sSubPr>
                <m:ctrlPr>
                  <w:rPr>
                    <w:rFonts w:ascii="Cambria Math" w:hAnsi="Cambria Math"/>
                  </w:rPr>
                </m:ctrlPr>
              </m:sSubPr>
              <m:e>
                <m:r>
                  <w:rPr>
                    <w:rFonts w:ascii="Cambria Math" w:hAnsi="Cambria Math"/>
                  </w:rPr>
                  <m:t>A</m:t>
                </m:r>
              </m:e>
              <m:sub>
                <m:r>
                  <w:rPr>
                    <w:rFonts w:ascii="Cambria Math" w:hAnsi="Cambria Math"/>
                  </w:rPr>
                  <m:t>STS</m:t>
                </m:r>
              </m:sub>
            </m:sSub>
          </m:e>
          <m:sub>
            <m:r>
              <w:rPr>
                <w:rFonts w:ascii="Cambria Math" w:hAnsi="Cambria Math"/>
              </w:rPr>
              <m:t>nmetų</m:t>
            </m:r>
          </m:sub>
        </m:sSub>
      </m:oMath>
      <w:r w:rsidR="00072BBC">
        <w:rPr>
          <w:rFonts w:ascii="Times New Roman" w:eastAsiaTheme="minorEastAsia" w:hAnsi="Times New Roman" w:cs="Times New Roman"/>
        </w:rPr>
        <w:t xml:space="preserve"> – metinis (12 mėnesių) faktiškai naudotų STS automobilių skaičiaus vidurkis (vnt.). Duomenis teikia PD;</w:t>
      </w:r>
    </w:p>
    <w:p w14:paraId="3F7FC3BC" w14:textId="77777777" w:rsidR="00C07A69" w:rsidRDefault="006934F7" w:rsidP="00594572">
      <w:pPr>
        <w:pStyle w:val="Default"/>
        <w:tabs>
          <w:tab w:val="left" w:pos="1134"/>
        </w:tabs>
        <w:spacing w:line="276" w:lineRule="auto"/>
        <w:jc w:val="both"/>
        <w:rPr>
          <w:rFonts w:ascii="Times New Roman" w:eastAsiaTheme="minorEastAsia" w:hAnsi="Times New Roman" w:cs="Times New Roman"/>
        </w:rPr>
      </w:pPr>
      <m:oMath>
        <m:sSub>
          <m:sSubPr>
            <m:ctrlPr>
              <w:rPr>
                <w:rFonts w:ascii="Cambria Math" w:hAnsi="Cambria Math"/>
              </w:rPr>
            </m:ctrlPr>
          </m:sSubPr>
          <m:e>
            <m:r>
              <w:rPr>
                <w:rFonts w:ascii="Cambria Math" w:hAnsi="Cambria Math"/>
              </w:rPr>
              <m:t>k</m:t>
            </m:r>
          </m:e>
          <m:sub>
            <m:r>
              <w:rPr>
                <w:rFonts w:ascii="Cambria Math" w:hAnsi="Cambria Math"/>
              </w:rPr>
              <m:t>2014metų</m:t>
            </m:r>
          </m:sub>
        </m:sSub>
      </m:oMath>
      <w:r w:rsidR="00072BBC">
        <w:rPr>
          <w:rFonts w:ascii="Times New Roman" w:eastAsiaTheme="minorEastAsia" w:hAnsi="Times New Roman" w:cs="Times New Roman"/>
        </w:rPr>
        <w:t xml:space="preserve"> – </w:t>
      </w:r>
      <w:r w:rsidR="00072BBC">
        <w:rPr>
          <w:rFonts w:ascii="Times New Roman" w:eastAsiaTheme="minorEastAsia" w:hAnsi="Times New Roman" w:cs="Times New Roman"/>
          <w:color w:val="00000A"/>
        </w:rPr>
        <w:t>bazinis STS veiklos koeficientas, %.</w:t>
      </w:r>
    </w:p>
    <w:p w14:paraId="2384E8FA" w14:textId="77777777" w:rsidR="00C07A69" w:rsidRDefault="00C07A69" w:rsidP="00594572">
      <w:pPr>
        <w:pStyle w:val="Default"/>
        <w:tabs>
          <w:tab w:val="left" w:pos="1134"/>
        </w:tabs>
        <w:spacing w:line="276" w:lineRule="auto"/>
        <w:jc w:val="both"/>
        <w:rPr>
          <w:rFonts w:ascii="Times New Roman" w:hAnsi="Times New Roman" w:cs="Times New Roman"/>
        </w:rPr>
      </w:pPr>
    </w:p>
    <w:p w14:paraId="3CEA84F4" w14:textId="77777777" w:rsidR="00C07A69" w:rsidRPr="003C6B3F"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color w:val="00000A"/>
        </w:rPr>
        <w:t>Bazinis STS veiklos k</w:t>
      </w:r>
      <w:r>
        <w:rPr>
          <w:rFonts w:ascii="Times New Roman" w:hAnsi="Times New Roman" w:cs="Times New Roman"/>
          <w:color w:val="00000A"/>
        </w:rPr>
        <w:t xml:space="preserve">oeficientas </w:t>
      </w:r>
      <m:oMath>
        <m:sSub>
          <m:sSubPr>
            <m:ctrlPr>
              <w:rPr>
                <w:rFonts w:ascii="Cambria Math" w:hAnsi="Cambria Math"/>
              </w:rPr>
            </m:ctrlPr>
          </m:sSubPr>
          <m:e>
            <m:r>
              <w:rPr>
                <w:rFonts w:ascii="Cambria Math" w:hAnsi="Cambria Math"/>
              </w:rPr>
              <m:t>k</m:t>
            </m:r>
          </m:e>
          <m:sub>
            <m:r>
              <w:rPr>
                <w:rFonts w:ascii="Cambria Math" w:hAnsi="Cambria Math"/>
              </w:rPr>
              <m:t>2014metų</m:t>
            </m:r>
          </m:sub>
        </m:sSub>
      </m:oMath>
      <w:r>
        <w:rPr>
          <w:rFonts w:ascii="Times New Roman" w:hAnsi="Times New Roman" w:cs="Times New Roman"/>
        </w:rPr>
        <w:t xml:space="preserve"> apskaičiuotas, remiantis </w:t>
      </w:r>
      <w:r>
        <w:rPr>
          <w:rFonts w:ascii="Times New Roman" w:hAnsi="Times New Roman" w:cs="Times New Roman"/>
          <w:color w:val="00000A"/>
        </w:rPr>
        <w:t>faktiniais 2014 m. PD bei VSAT duomenimis:</w:t>
      </w:r>
    </w:p>
    <w:p w14:paraId="3F17A8A3" w14:textId="77777777" w:rsidR="003C6B3F" w:rsidRDefault="003C6B3F" w:rsidP="00594572">
      <w:pPr>
        <w:pStyle w:val="Default"/>
        <w:tabs>
          <w:tab w:val="left" w:pos="1134"/>
        </w:tabs>
        <w:spacing w:line="276" w:lineRule="auto"/>
        <w:ind w:left="720"/>
        <w:jc w:val="both"/>
        <w:rPr>
          <w:rFonts w:ascii="Times New Roman" w:hAnsi="Times New Roman" w:cs="Times New Roman"/>
        </w:rPr>
      </w:pPr>
    </w:p>
    <w:p w14:paraId="0BFB5F15" w14:textId="77777777" w:rsidR="00C07A69" w:rsidRDefault="006934F7" w:rsidP="00594572">
      <w:pPr>
        <w:pStyle w:val="Default"/>
        <w:tabs>
          <w:tab w:val="left" w:pos="1134"/>
        </w:tabs>
        <w:spacing w:line="276" w:lineRule="auto"/>
        <w:jc w:val="both"/>
        <w:rPr>
          <w:rFonts w:ascii="Times New Roman" w:hAnsi="Times New Roman" w:cs="Times New Roman"/>
          <w:color w:val="00000A"/>
        </w:rPr>
      </w:pPr>
      <m:oMathPara>
        <m:oMath>
          <m:sSub>
            <m:sSubPr>
              <m:ctrlPr>
                <w:rPr>
                  <w:rFonts w:ascii="Cambria Math" w:hAnsi="Cambria Math"/>
                </w:rPr>
              </m:ctrlPr>
            </m:sSubPr>
            <m:e>
              <m:r>
                <w:rPr>
                  <w:rFonts w:ascii="Cambria Math" w:hAnsi="Cambria Math"/>
                </w:rPr>
                <m:t>k</m:t>
              </m:r>
            </m:e>
            <m:sub>
              <m:r>
                <w:rPr>
                  <w:rFonts w:ascii="Cambria Math" w:hAnsi="Cambria Math"/>
                </w:rPr>
                <m:t>2014metų</m:t>
              </m:r>
            </m:sub>
          </m:sSub>
          <m:r>
            <w:rPr>
              <w:rFonts w:ascii="Cambria Math" w:hAnsi="Cambria Math"/>
            </w:rPr>
            <m:t>=</m:t>
          </m:r>
          <m:sSub>
            <m:sSubPr>
              <m:ctrlPr>
                <w:rPr>
                  <w:rFonts w:ascii="Cambria Math" w:hAnsi="Cambria Math"/>
                </w:rPr>
              </m:ctrlPr>
            </m:sSubPr>
            <m:e>
              <m:r>
                <w:rPr>
                  <w:rFonts w:ascii="Cambria Math" w:hAnsi="Cambria Math"/>
                </w:rPr>
                <m:t>STS</m:t>
              </m:r>
            </m:e>
            <m:sub>
              <m:r>
                <w:rPr>
                  <w:rFonts w:ascii="Cambria Math" w:hAnsi="Cambria Math"/>
                </w:rPr>
                <m:t>2014metų</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sSub>
                    <m:sSubPr>
                      <m:ctrlPr>
                        <w:rPr>
                          <w:rFonts w:ascii="Cambria Math" w:hAnsi="Cambria Math"/>
                        </w:rPr>
                      </m:ctrlPr>
                    </m:sSubPr>
                    <m:e>
                      <m:r>
                        <w:rPr>
                          <w:rFonts w:ascii="Cambria Math" w:hAnsi="Cambria Math"/>
                        </w:rPr>
                        <m:t>STS</m:t>
                      </m:r>
                    </m:e>
                    <m:sub>
                      <m:r>
                        <w:rPr>
                          <w:rFonts w:ascii="Cambria Math" w:hAnsi="Cambria Math"/>
                        </w:rPr>
                        <m:t>2014metų</m:t>
                      </m:r>
                    </m:sub>
                  </m:sSub>
                </m:sub>
              </m:sSub>
            </m:num>
            <m:den>
              <m:sSub>
                <m:sSubPr>
                  <m:ctrlPr>
                    <w:rPr>
                      <w:rFonts w:ascii="Cambria Math" w:hAnsi="Cambria Math"/>
                    </w:rPr>
                  </m:ctrlPr>
                </m:sSubPr>
                <m:e>
                  <m:r>
                    <w:rPr>
                      <w:rFonts w:ascii="Cambria Math" w:hAnsi="Cambria Math"/>
                    </w:rPr>
                    <m:t>A</m:t>
                  </m:r>
                </m:e>
                <m:sub>
                  <m:sSub>
                    <m:sSubPr>
                      <m:ctrlPr>
                        <w:rPr>
                          <w:rFonts w:ascii="Cambria Math" w:hAnsi="Cambria Math"/>
                        </w:rPr>
                      </m:ctrlPr>
                    </m:sSubPr>
                    <m:e>
                      <m:r>
                        <w:rPr>
                          <w:rFonts w:ascii="Cambria Math" w:hAnsi="Cambria Math"/>
                        </w:rPr>
                        <m:t>RF</m:t>
                      </m:r>
                    </m:e>
                    <m:sub>
                      <m:r>
                        <w:rPr>
                          <w:rFonts w:ascii="Cambria Math" w:hAnsi="Cambria Math"/>
                        </w:rPr>
                        <m:t>2014metų</m:t>
                      </m:r>
                    </m:sub>
                  </m:sSub>
                </m:sub>
              </m:sSub>
            </m:den>
          </m:f>
        </m:oMath>
      </m:oMathPara>
    </w:p>
    <w:p w14:paraId="457B6552" w14:textId="77777777" w:rsidR="00C07A69" w:rsidRDefault="00C07A69" w:rsidP="00594572">
      <w:pPr>
        <w:pStyle w:val="Default"/>
        <w:tabs>
          <w:tab w:val="left" w:pos="1134"/>
        </w:tabs>
        <w:spacing w:line="276" w:lineRule="auto"/>
        <w:jc w:val="both"/>
        <w:rPr>
          <w:rFonts w:ascii="Times New Roman" w:hAnsi="Times New Roman" w:cs="Times New Roman"/>
        </w:rPr>
      </w:pPr>
    </w:p>
    <w:p w14:paraId="29EAD993" w14:textId="77777777" w:rsidR="00C07A69" w:rsidRDefault="006934F7" w:rsidP="00594572">
      <w:pPr>
        <w:pStyle w:val="Default"/>
        <w:tabs>
          <w:tab w:val="left" w:pos="1134"/>
        </w:tabs>
        <w:spacing w:line="276" w:lineRule="auto"/>
        <w:jc w:val="both"/>
        <w:rPr>
          <w:rFonts w:ascii="Times New Roman" w:hAnsi="Times New Roman" w:cs="Times New Roman"/>
          <w:b/>
        </w:rPr>
      </w:pPr>
      <m:oMathPara>
        <m:oMath>
          <m:sSub>
            <m:sSubPr>
              <m:ctrlPr>
                <w:rPr>
                  <w:rFonts w:ascii="Cambria Math" w:hAnsi="Cambria Math"/>
                </w:rPr>
              </m:ctrlPr>
            </m:sSubPr>
            <m:e>
              <m:r>
                <w:rPr>
                  <w:rFonts w:ascii="Cambria Math" w:hAnsi="Cambria Math"/>
                </w:rPr>
                <m:t>k</m:t>
              </m:r>
            </m:e>
            <m:sub>
              <m:r>
                <w:rPr>
                  <w:rFonts w:ascii="Cambria Math" w:hAnsi="Cambria Math"/>
                </w:rPr>
                <m:t>2014metų</m:t>
              </m:r>
            </m:sub>
          </m:sSub>
          <m:r>
            <w:rPr>
              <w:rFonts w:ascii="Cambria Math" w:hAnsi="Cambria Math"/>
            </w:rPr>
            <m:t>=13×</m:t>
          </m:r>
          <m:f>
            <m:fPr>
              <m:ctrlPr>
                <w:rPr>
                  <w:rFonts w:ascii="Cambria Math" w:hAnsi="Cambria Math"/>
                </w:rPr>
              </m:ctrlPr>
            </m:fPr>
            <m:num>
              <m:r>
                <w:rPr>
                  <w:rFonts w:ascii="Cambria Math" w:hAnsi="Cambria Math"/>
                </w:rPr>
                <m:t>1217vnt</m:t>
              </m:r>
            </m:num>
            <m:den>
              <m:r>
                <w:rPr>
                  <w:rFonts w:ascii="Cambria Math" w:hAnsi="Cambria Math"/>
                </w:rPr>
                <m:t>404905vnt</m:t>
              </m:r>
            </m:den>
          </m:f>
        </m:oMath>
      </m:oMathPara>
    </w:p>
    <w:p w14:paraId="31A9ADA0" w14:textId="77777777" w:rsidR="00C07A69" w:rsidRDefault="00C07A69" w:rsidP="00594572">
      <w:pPr>
        <w:pStyle w:val="Default"/>
        <w:tabs>
          <w:tab w:val="left" w:pos="1134"/>
        </w:tabs>
        <w:spacing w:line="276" w:lineRule="auto"/>
        <w:jc w:val="both"/>
        <w:rPr>
          <w:rFonts w:ascii="Times New Roman" w:hAnsi="Times New Roman" w:cs="Times New Roman"/>
        </w:rPr>
      </w:pPr>
    </w:p>
    <w:p w14:paraId="5576A911" w14:textId="77777777" w:rsidR="00C07A69" w:rsidRDefault="006934F7" w:rsidP="00594572">
      <w:pPr>
        <w:pStyle w:val="Default"/>
        <w:tabs>
          <w:tab w:val="left" w:pos="1134"/>
        </w:tabs>
        <w:spacing w:line="276" w:lineRule="auto"/>
        <w:jc w:val="center"/>
        <w:rPr>
          <w:rFonts w:ascii="Times New Roman" w:hAnsi="Times New Roman" w:cs="Times New Roman"/>
          <w:lang w:val="en-US"/>
        </w:rPr>
      </w:pPr>
      <m:oMath>
        <m:sSub>
          <m:sSubPr>
            <m:ctrlPr>
              <w:rPr>
                <w:rFonts w:ascii="Cambria Math" w:hAnsi="Cambria Math"/>
              </w:rPr>
            </m:ctrlPr>
          </m:sSubPr>
          <m:e>
            <m:r>
              <w:rPr>
                <w:rFonts w:ascii="Cambria Math" w:hAnsi="Cambria Math"/>
              </w:rPr>
              <m:t>k</m:t>
            </m:r>
          </m:e>
          <m:sub>
            <m:r>
              <w:rPr>
                <w:rFonts w:ascii="Cambria Math" w:hAnsi="Cambria Math"/>
              </w:rPr>
              <m:t>2014metų</m:t>
            </m:r>
          </m:sub>
        </m:sSub>
        <m:r>
          <w:rPr>
            <w:rFonts w:ascii="Cambria Math" w:hAnsi="Cambria Math"/>
          </w:rPr>
          <m:t>≈0,039</m:t>
        </m:r>
      </m:oMath>
      <w:r w:rsidR="00072BBC">
        <w:rPr>
          <w:rFonts w:ascii="Times New Roman" w:eastAsiaTheme="minorEastAsia" w:hAnsi="Times New Roman" w:cs="Times New Roman"/>
        </w:rPr>
        <w:t xml:space="preserve"> </w:t>
      </w:r>
      <w:r w:rsidR="00072BBC">
        <w:rPr>
          <w:rFonts w:ascii="Times New Roman" w:eastAsiaTheme="minorEastAsia" w:hAnsi="Times New Roman" w:cs="Times New Roman"/>
          <w:lang w:val="en-US"/>
        </w:rPr>
        <w:t>%</w:t>
      </w:r>
    </w:p>
    <w:p w14:paraId="4440D821" w14:textId="77777777" w:rsidR="00C07A69" w:rsidRDefault="00C07A69" w:rsidP="00594572">
      <w:pPr>
        <w:pStyle w:val="Default"/>
        <w:tabs>
          <w:tab w:val="left" w:pos="1134"/>
        </w:tabs>
        <w:spacing w:line="276" w:lineRule="auto"/>
        <w:jc w:val="both"/>
        <w:rPr>
          <w:rFonts w:ascii="Times New Roman" w:hAnsi="Times New Roman" w:cs="Times New Roman"/>
        </w:rPr>
      </w:pPr>
    </w:p>
    <w:p w14:paraId="09AD5E45" w14:textId="77777777" w:rsidR="003C6B3F" w:rsidRDefault="003C6B3F" w:rsidP="00594572">
      <w:pPr>
        <w:pStyle w:val="Default"/>
        <w:tabs>
          <w:tab w:val="left" w:pos="1134"/>
        </w:tabs>
        <w:spacing w:line="276" w:lineRule="auto"/>
        <w:jc w:val="both"/>
        <w:rPr>
          <w:rFonts w:ascii="Times New Roman" w:hAnsi="Times New Roman" w:cs="Times New Roman"/>
        </w:rPr>
      </w:pPr>
    </w:p>
    <w:p w14:paraId="06B0337F" w14:textId="26E81319"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rPr>
        <w:t>Siekiant kuo tikslesnės reikšmės, metinė STS veiklos proporcij</w:t>
      </w:r>
      <w:r w:rsidR="00DE3E5F">
        <w:rPr>
          <w:rFonts w:ascii="Times New Roman" w:hAnsi="Times New Roman" w:cs="Times New Roman"/>
          <w:bCs/>
        </w:rPr>
        <w:t>a</w:t>
      </w:r>
      <w:r>
        <w:rPr>
          <w:rFonts w:ascii="Times New Roman" w:hAnsi="Times New Roman" w:cs="Times New Roman"/>
          <w:bCs/>
        </w:rPr>
        <w:t xml:space="preserve"> </w:t>
      </w:r>
      <w:r w:rsidR="00947F90">
        <w:rPr>
          <w:rFonts w:ascii="Times New Roman" w:hAnsi="Times New Roman" w:cs="Times New Roman"/>
          <w:bCs/>
        </w:rPr>
        <w:t>ap</w:t>
      </w:r>
      <w:r>
        <w:rPr>
          <w:rFonts w:ascii="Times New Roman" w:hAnsi="Times New Roman" w:cs="Times New Roman"/>
          <w:bCs/>
        </w:rPr>
        <w:t>skaičiuojama, naudojant Metodikos 1 priedo skaičiuo</w:t>
      </w:r>
      <w:r w:rsidR="00C80829">
        <w:rPr>
          <w:rFonts w:ascii="Times New Roman" w:hAnsi="Times New Roman" w:cs="Times New Roman"/>
          <w:bCs/>
        </w:rPr>
        <w:t xml:space="preserve">jamąją </w:t>
      </w:r>
      <w:r>
        <w:rPr>
          <w:rFonts w:ascii="Times New Roman" w:hAnsi="Times New Roman" w:cs="Times New Roman"/>
          <w:bCs/>
        </w:rPr>
        <w:t>lentelę, o apvalin</w:t>
      </w:r>
      <w:r w:rsidR="00DE3E5F">
        <w:rPr>
          <w:rFonts w:ascii="Times New Roman" w:hAnsi="Times New Roman" w:cs="Times New Roman"/>
          <w:bCs/>
        </w:rPr>
        <w:t>a</w:t>
      </w:r>
      <w:r>
        <w:rPr>
          <w:rFonts w:ascii="Times New Roman" w:hAnsi="Times New Roman" w:cs="Times New Roman"/>
          <w:bCs/>
        </w:rPr>
        <w:t xml:space="preserve">mas tik galutinis skaičius, gautas pagal </w:t>
      </w:r>
      <w:r w:rsidR="00DE3E5F">
        <w:rPr>
          <w:rFonts w:ascii="Times New Roman" w:hAnsi="Times New Roman" w:cs="Times New Roman"/>
          <w:bCs/>
        </w:rPr>
        <w:t xml:space="preserve">Metodikos </w:t>
      </w:r>
      <w:r>
        <w:rPr>
          <w:rFonts w:ascii="Times New Roman" w:hAnsi="Times New Roman" w:cs="Times New Roman"/>
          <w:bCs/>
        </w:rPr>
        <w:t xml:space="preserve">12 punkte pateiktą formulę, iki dviejų skaitmenų po kablelio. </w:t>
      </w:r>
    </w:p>
    <w:p w14:paraId="0F83262A" w14:textId="6BB2D3B1" w:rsidR="00C07A69" w:rsidRDefault="00072BBC" w:rsidP="00594572">
      <w:pPr>
        <w:tabs>
          <w:tab w:val="left" w:pos="0"/>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III. AUTOMOBILIŲ EKSPLOATACINIŲ IŠLAIDŲ FIKSUOTOJO ĮKAINIO APSKAIČIAVIMAS IR STS VEIKLOS PROPORCIJOS TAIKYMAS AUTOMOBILIŲ EKSPLOATACINĖMS IŠLAIDOMS AP</w:t>
      </w:r>
      <w:r w:rsidR="0060565A">
        <w:rPr>
          <w:rFonts w:ascii="Times New Roman" w:hAnsi="Times New Roman" w:cs="Times New Roman"/>
          <w:b/>
          <w:bCs/>
          <w:sz w:val="24"/>
          <w:szCs w:val="24"/>
        </w:rPr>
        <w:t>SKAIČIUOTI</w:t>
      </w:r>
      <w:r w:rsidR="006C42C3">
        <w:rPr>
          <w:rFonts w:ascii="Times New Roman" w:hAnsi="Times New Roman" w:cs="Times New Roman"/>
          <w:b/>
          <w:bCs/>
          <w:sz w:val="24"/>
          <w:szCs w:val="24"/>
        </w:rPr>
        <w:t xml:space="preserve"> IR DEKLARUOTI</w:t>
      </w:r>
    </w:p>
    <w:p w14:paraId="355BE28A" w14:textId="77777777" w:rsidR="00C07A69" w:rsidRDefault="00C07A69" w:rsidP="00594572">
      <w:pPr>
        <w:tabs>
          <w:tab w:val="left" w:pos="9360"/>
        </w:tabs>
        <w:spacing w:after="0" w:line="276" w:lineRule="auto"/>
        <w:ind w:right="99"/>
        <w:jc w:val="both"/>
        <w:rPr>
          <w:rFonts w:ascii="Times New Roman" w:hAnsi="Times New Roman" w:cs="Times New Roman"/>
          <w:sz w:val="24"/>
          <w:szCs w:val="24"/>
        </w:rPr>
      </w:pPr>
    </w:p>
    <w:p w14:paraId="3AE7D691" w14:textId="77777777" w:rsidR="00213E3B" w:rsidRPr="00213E3B"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rPr>
        <w:t>Metodikos 5.1 punkte numatytoms su STS automobilių naudojimu susijusioms eksploatacinėms išlaidoms priskiriamos šios išlaidos:</w:t>
      </w:r>
    </w:p>
    <w:p w14:paraId="0483EB3C" w14:textId="30686EA7" w:rsidR="00213E3B" w:rsidRPr="00213E3B" w:rsidRDefault="00213E3B" w:rsidP="00594572">
      <w:pPr>
        <w:pStyle w:val="Default"/>
        <w:numPr>
          <w:ilvl w:val="1"/>
          <w:numId w:val="1"/>
        </w:numPr>
        <w:tabs>
          <w:tab w:val="left" w:pos="1276"/>
        </w:tabs>
        <w:spacing w:line="276" w:lineRule="auto"/>
        <w:ind w:left="0" w:firstLine="709"/>
        <w:jc w:val="both"/>
        <w:rPr>
          <w:rFonts w:ascii="Times New Roman" w:hAnsi="Times New Roman" w:cs="Times New Roman"/>
        </w:rPr>
      </w:pPr>
      <w:r>
        <w:rPr>
          <w:rFonts w:ascii="Times New Roman" w:hAnsi="Times New Roman" w:cs="Times New Roman"/>
          <w:bCs/>
        </w:rPr>
        <w:t>išlaikymo ir priežiūros išlaidos</w:t>
      </w:r>
      <w:r w:rsidR="00E972EE">
        <w:rPr>
          <w:rFonts w:ascii="Times New Roman" w:hAnsi="Times New Roman" w:cs="Times New Roman"/>
          <w:bCs/>
        </w:rPr>
        <w:t xml:space="preserve"> (filtrų, padangų</w:t>
      </w:r>
      <w:r w:rsidR="00A80D75">
        <w:rPr>
          <w:rFonts w:ascii="Times New Roman" w:hAnsi="Times New Roman" w:cs="Times New Roman"/>
          <w:bCs/>
        </w:rPr>
        <w:t xml:space="preserve"> ir kitų automobilių detalių bei dalių įsigijimo išlaidos</w:t>
      </w:r>
      <w:r w:rsidR="00E972EE">
        <w:rPr>
          <w:rFonts w:ascii="Times New Roman" w:hAnsi="Times New Roman" w:cs="Times New Roman"/>
          <w:bCs/>
        </w:rPr>
        <w:t>, plovimo priemonių, techninės apžiūros išlaidos, valymo/plovimo išlaidos, sunaudotų degalų ir tepalų išlaidos, parkavimo išlaidos)</w:t>
      </w:r>
      <w:r>
        <w:rPr>
          <w:rFonts w:ascii="Times New Roman" w:hAnsi="Times New Roman" w:cs="Times New Roman"/>
          <w:bCs/>
        </w:rPr>
        <w:t>;</w:t>
      </w:r>
    </w:p>
    <w:p w14:paraId="6CB35D3B" w14:textId="77777777" w:rsidR="00213E3B" w:rsidRPr="00213E3B" w:rsidRDefault="00213E3B" w:rsidP="00594572">
      <w:pPr>
        <w:pStyle w:val="Default"/>
        <w:numPr>
          <w:ilvl w:val="1"/>
          <w:numId w:val="1"/>
        </w:numPr>
        <w:tabs>
          <w:tab w:val="left" w:pos="1276"/>
        </w:tabs>
        <w:spacing w:line="276" w:lineRule="auto"/>
        <w:ind w:left="0" w:firstLine="709"/>
        <w:jc w:val="both"/>
        <w:rPr>
          <w:rFonts w:ascii="Times New Roman" w:hAnsi="Times New Roman" w:cs="Times New Roman"/>
        </w:rPr>
      </w:pPr>
      <w:r>
        <w:rPr>
          <w:rFonts w:ascii="Times New Roman" w:hAnsi="Times New Roman" w:cs="Times New Roman"/>
          <w:bCs/>
        </w:rPr>
        <w:t>remonto išlaidos;</w:t>
      </w:r>
    </w:p>
    <w:p w14:paraId="210E9456" w14:textId="0F267F78" w:rsidR="00C07A69" w:rsidRPr="00E972EE" w:rsidRDefault="00FC1782" w:rsidP="00594572">
      <w:pPr>
        <w:pStyle w:val="Default"/>
        <w:numPr>
          <w:ilvl w:val="1"/>
          <w:numId w:val="1"/>
        </w:numPr>
        <w:tabs>
          <w:tab w:val="left" w:pos="1276"/>
        </w:tabs>
        <w:spacing w:line="276" w:lineRule="auto"/>
        <w:ind w:left="0" w:firstLine="709"/>
        <w:jc w:val="both"/>
        <w:rPr>
          <w:rFonts w:ascii="Times New Roman" w:hAnsi="Times New Roman" w:cs="Times New Roman"/>
        </w:rPr>
      </w:pPr>
      <w:r>
        <w:rPr>
          <w:rFonts w:ascii="Times New Roman" w:hAnsi="Times New Roman" w:cs="Times New Roman"/>
          <w:bCs/>
        </w:rPr>
        <w:t xml:space="preserve">KASKO ir </w:t>
      </w:r>
      <w:r w:rsidR="00213E3B">
        <w:rPr>
          <w:rFonts w:ascii="Times New Roman" w:hAnsi="Times New Roman" w:cs="Times New Roman"/>
          <w:bCs/>
        </w:rPr>
        <w:t xml:space="preserve">privalomojo </w:t>
      </w:r>
      <w:r>
        <w:rPr>
          <w:rFonts w:ascii="Times New Roman" w:hAnsi="Times New Roman" w:cs="Times New Roman"/>
          <w:bCs/>
        </w:rPr>
        <w:t xml:space="preserve">civilinės atsakomybės </w:t>
      </w:r>
      <w:r w:rsidR="00213E3B">
        <w:rPr>
          <w:rFonts w:ascii="Times New Roman" w:hAnsi="Times New Roman" w:cs="Times New Roman"/>
          <w:bCs/>
        </w:rPr>
        <w:t xml:space="preserve">draudimo </w:t>
      </w:r>
      <w:r w:rsidR="00E972EE">
        <w:rPr>
          <w:rFonts w:ascii="Times New Roman" w:hAnsi="Times New Roman" w:cs="Times New Roman"/>
          <w:bCs/>
        </w:rPr>
        <w:t>išlaidos.</w:t>
      </w:r>
    </w:p>
    <w:p w14:paraId="475D76AB"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rPr>
        <w:t>Matavimo vienetas, pagal kurį kompensuojamos finansuojamų programų tikslais patirtos automobilių eksploatacinės išlaidos taikant fiksuotąjį įkainį (FĮ) – 1 automobilio 1 nuvažiuotas kilometras.</w:t>
      </w:r>
    </w:p>
    <w:p w14:paraId="679E4646" w14:textId="7E166339"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rPr>
        <w:t xml:space="preserve">Finansinės paramos lėšomis finansuojamo </w:t>
      </w:r>
      <w:r>
        <w:rPr>
          <w:rFonts w:ascii="Times New Roman" w:hAnsi="Times New Roman" w:cs="Times New Roman"/>
          <w:spacing w:val="-2"/>
        </w:rPr>
        <w:t xml:space="preserve">projekto pradžioje, reikalinga įvertinti </w:t>
      </w:r>
      <w:r>
        <w:rPr>
          <w:rFonts w:ascii="Times New Roman" w:eastAsiaTheme="minorEastAsia" w:hAnsi="Times New Roman" w:cs="Times New Roman"/>
        </w:rPr>
        <w:t xml:space="preserve">automobilių eksploatacinių išlaidų </w:t>
      </w:r>
      <w:r>
        <w:rPr>
          <w:rFonts w:ascii="Times New Roman" w:eastAsiaTheme="minorEastAsia" w:hAnsi="Times New Roman" w:cs="Times New Roman"/>
          <w:color w:val="00000A"/>
        </w:rPr>
        <w:t>FĮ</w:t>
      </w:r>
      <w:r>
        <w:rPr>
          <w:rFonts w:ascii="Times New Roman" w:hAnsi="Times New Roman" w:cs="Times New Roman"/>
          <w:spacing w:val="-2"/>
        </w:rPr>
        <w:t xml:space="preserve"> indeksavimo poreikį. A</w:t>
      </w:r>
      <w:r>
        <w:rPr>
          <w:rFonts w:ascii="Times New Roman" w:eastAsiaTheme="minorEastAsia" w:hAnsi="Times New Roman" w:cs="Times New Roman"/>
        </w:rPr>
        <w:t xml:space="preserve">utomobilių eksploatacinių išlaidų </w:t>
      </w:r>
      <w:r>
        <w:rPr>
          <w:rFonts w:ascii="Times New Roman" w:hAnsi="Times New Roman" w:cs="Times New Roman"/>
          <w:spacing w:val="-2"/>
        </w:rPr>
        <w:t xml:space="preserve">FĮ indeksavimas atliekamas pagal faktinius apskaitos duomenis.  Indeksuojant pagal faktinius apskaitos duomenis, PD  prieš </w:t>
      </w:r>
      <w:r w:rsidRPr="00E972EE">
        <w:rPr>
          <w:rFonts w:ascii="Times New Roman" w:hAnsi="Times New Roman" w:cs="Times New Roman"/>
          <w:color w:val="auto"/>
          <w:spacing w:val="-2"/>
        </w:rPr>
        <w:t>teikiant pirmąj</w:t>
      </w:r>
      <w:r w:rsidR="00194CE4" w:rsidRPr="00E972EE">
        <w:rPr>
          <w:rFonts w:ascii="Times New Roman" w:hAnsi="Times New Roman" w:cs="Times New Roman"/>
          <w:color w:val="auto"/>
          <w:spacing w:val="-2"/>
        </w:rPr>
        <w:t>į</w:t>
      </w:r>
      <w:r w:rsidRPr="00E972EE">
        <w:rPr>
          <w:rFonts w:ascii="Times New Roman" w:hAnsi="Times New Roman" w:cs="Times New Roman"/>
          <w:color w:val="auto"/>
          <w:spacing w:val="-2"/>
        </w:rPr>
        <w:t xml:space="preserve"> </w:t>
      </w:r>
      <w:r w:rsidR="0060565A" w:rsidRPr="00E972EE">
        <w:rPr>
          <w:rFonts w:ascii="Times New Roman" w:hAnsi="Times New Roman" w:cs="Times New Roman"/>
          <w:color w:val="auto"/>
          <w:spacing w:val="-2"/>
        </w:rPr>
        <w:t>IDD</w:t>
      </w:r>
      <w:r>
        <w:rPr>
          <w:rFonts w:ascii="Times New Roman" w:hAnsi="Times New Roman" w:cs="Times New Roman"/>
          <w:spacing w:val="-2"/>
        </w:rPr>
        <w:t>, apskaičiuoja ir pateikia kartu su skaičiavimais reprezentatyvios (didžiausios) savo automobilių parko dalies (pavyzdžiui, Vilniaus apskrities) 1 automobilio vidutines eksploatacines išlaidas už praėjusius metus. Pasikeitus vidutiniam dydžiui proporcingai keičiamas ir FĮ. FĮ pradedamas taikyti patvirtinus Metodikos pakeitimą.</w:t>
      </w:r>
    </w:p>
    <w:p w14:paraId="3DFAE88F" w14:textId="3169DA54"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rPr>
        <w:t xml:space="preserve">Pagal </w:t>
      </w:r>
      <w:r w:rsidR="00DE3E5F">
        <w:rPr>
          <w:rFonts w:ascii="Times New Roman" w:hAnsi="Times New Roman" w:cs="Times New Roman"/>
        </w:rPr>
        <w:t xml:space="preserve">Metodikos </w:t>
      </w:r>
      <w:r>
        <w:rPr>
          <w:rFonts w:ascii="Times New Roman" w:hAnsi="Times New Roman" w:cs="Times New Roman"/>
        </w:rPr>
        <w:t>16</w:t>
      </w:r>
      <w:r w:rsidR="00A80D75">
        <w:rPr>
          <w:rFonts w:ascii="Times New Roman" w:hAnsi="Times New Roman" w:cs="Times New Roman"/>
        </w:rPr>
        <w:t xml:space="preserve"> ir 17</w:t>
      </w:r>
      <w:r>
        <w:rPr>
          <w:rFonts w:ascii="Times New Roman" w:hAnsi="Times New Roman" w:cs="Times New Roman"/>
        </w:rPr>
        <w:t xml:space="preserve"> punkt</w:t>
      </w:r>
      <w:r w:rsidR="00A80D75">
        <w:rPr>
          <w:rFonts w:ascii="Times New Roman" w:hAnsi="Times New Roman" w:cs="Times New Roman"/>
        </w:rPr>
        <w:t>uose</w:t>
      </w:r>
      <w:r>
        <w:rPr>
          <w:rFonts w:ascii="Times New Roman" w:hAnsi="Times New Roman" w:cs="Times New Roman"/>
        </w:rPr>
        <w:t xml:space="preserve"> nurodytas nuostatas atlikus automobilių eksploatacinių išlaidų FĮ indeksavimą, nustatytas FĮ dydis (vienam nuvažiuotam kilometrui) </w:t>
      </w:r>
      <w:r w:rsidR="00A80D75">
        <w:rPr>
          <w:rFonts w:ascii="Times New Roman" w:hAnsi="Times New Roman" w:cs="Times New Roman"/>
        </w:rPr>
        <w:t xml:space="preserve">pagal 2015 m. Vilniaus apskrities vyriausiojo policijos komisariato </w:t>
      </w:r>
      <w:r w:rsidR="00FD500C">
        <w:rPr>
          <w:rFonts w:ascii="Times New Roman" w:hAnsi="Times New Roman" w:cs="Times New Roman"/>
        </w:rPr>
        <w:t>automobilių ridų ir eksploatacinių sąnaudų duomenis</w:t>
      </w:r>
      <w:r w:rsidR="00A80D75">
        <w:rPr>
          <w:rFonts w:ascii="Times New Roman" w:hAnsi="Times New Roman" w:cs="Times New Roman"/>
        </w:rPr>
        <w:t xml:space="preserve"> </w:t>
      </w:r>
      <w:r>
        <w:rPr>
          <w:rFonts w:ascii="Times New Roman" w:hAnsi="Times New Roman" w:cs="Times New Roman"/>
        </w:rPr>
        <w:t>yra:</w:t>
      </w:r>
    </w:p>
    <w:p w14:paraId="5DB89CD3" w14:textId="77777777" w:rsidR="00C07A69" w:rsidRDefault="00C07A69" w:rsidP="00594572">
      <w:pPr>
        <w:pStyle w:val="Default"/>
        <w:tabs>
          <w:tab w:val="left" w:pos="1134"/>
        </w:tabs>
        <w:spacing w:line="276" w:lineRule="auto"/>
        <w:jc w:val="both"/>
        <w:rPr>
          <w:rFonts w:ascii="Times New Roman" w:hAnsi="Times New Roman" w:cs="Times New Roman"/>
        </w:rPr>
      </w:pPr>
    </w:p>
    <w:p w14:paraId="71948E35" w14:textId="262D669E" w:rsidR="00A80D75" w:rsidRPr="001514C9" w:rsidRDefault="00A80D75" w:rsidP="00594572">
      <w:pPr>
        <w:spacing w:after="0" w:line="276" w:lineRule="auto"/>
        <w:jc w:val="center"/>
        <w:rPr>
          <w:rFonts w:ascii="Times New Roman" w:hAnsi="Times New Roman" w:cs="Times New Roman"/>
          <w:bCs/>
          <w:sz w:val="24"/>
          <w:szCs w:val="24"/>
          <w:lang w:val="lt-LT"/>
        </w:rPr>
      </w:pPr>
      <w:r>
        <w:rPr>
          <w:rFonts w:ascii="Times New Roman" w:hAnsi="Times New Roman" w:cs="Times New Roman"/>
          <w:bCs/>
          <w:sz w:val="24"/>
          <w:szCs w:val="24"/>
        </w:rPr>
        <w:t xml:space="preserve">FĮ = </w:t>
      </w:r>
      <w:r w:rsidR="00FD500C" w:rsidRPr="00FD500C">
        <w:rPr>
          <w:rFonts w:ascii="Times New Roman" w:hAnsi="Times New Roman" w:cs="Times New Roman"/>
          <w:bCs/>
          <w:sz w:val="24"/>
          <w:szCs w:val="24"/>
        </w:rPr>
        <w:t>1</w:t>
      </w:r>
      <w:r w:rsidR="00FD500C">
        <w:rPr>
          <w:rFonts w:ascii="Times New Roman" w:hAnsi="Times New Roman" w:cs="Times New Roman"/>
          <w:bCs/>
          <w:sz w:val="24"/>
          <w:szCs w:val="24"/>
        </w:rPr>
        <w:t xml:space="preserve"> </w:t>
      </w:r>
      <w:r w:rsidR="00FD500C" w:rsidRPr="00FD500C">
        <w:rPr>
          <w:rFonts w:ascii="Times New Roman" w:hAnsi="Times New Roman" w:cs="Times New Roman"/>
          <w:bCs/>
          <w:sz w:val="24"/>
          <w:szCs w:val="24"/>
        </w:rPr>
        <w:t>167</w:t>
      </w:r>
      <w:r w:rsidR="00FD500C">
        <w:rPr>
          <w:rFonts w:ascii="Times New Roman" w:hAnsi="Times New Roman" w:cs="Times New Roman"/>
          <w:bCs/>
          <w:sz w:val="24"/>
          <w:szCs w:val="24"/>
        </w:rPr>
        <w:t xml:space="preserve"> </w:t>
      </w:r>
      <w:r w:rsidR="00FD500C" w:rsidRPr="00FD500C">
        <w:rPr>
          <w:rFonts w:ascii="Times New Roman" w:hAnsi="Times New Roman" w:cs="Times New Roman"/>
          <w:bCs/>
          <w:sz w:val="24"/>
          <w:szCs w:val="24"/>
        </w:rPr>
        <w:t>303</w:t>
      </w:r>
      <w:proofErr w:type="gramStart"/>
      <w:r w:rsidR="00FD500C" w:rsidRPr="00FD500C">
        <w:rPr>
          <w:rFonts w:ascii="Times New Roman" w:hAnsi="Times New Roman" w:cs="Times New Roman"/>
          <w:bCs/>
          <w:sz w:val="24"/>
          <w:szCs w:val="24"/>
        </w:rPr>
        <w:t>,49</w:t>
      </w:r>
      <w:proofErr w:type="gramEnd"/>
      <w:r w:rsidR="00FD500C">
        <w:rPr>
          <w:rFonts w:ascii="Times New Roman" w:hAnsi="Times New Roman" w:cs="Times New Roman"/>
          <w:bCs/>
          <w:sz w:val="24"/>
          <w:szCs w:val="24"/>
        </w:rPr>
        <w:t xml:space="preserve"> </w:t>
      </w:r>
      <w:proofErr w:type="spellStart"/>
      <w:r w:rsidR="00FD500C">
        <w:rPr>
          <w:rFonts w:ascii="Times New Roman" w:hAnsi="Times New Roman" w:cs="Times New Roman"/>
          <w:bCs/>
          <w:sz w:val="24"/>
          <w:szCs w:val="24"/>
        </w:rPr>
        <w:t>E</w:t>
      </w:r>
      <w:r w:rsidR="00947F90">
        <w:rPr>
          <w:rFonts w:ascii="Times New Roman" w:hAnsi="Times New Roman" w:cs="Times New Roman"/>
          <w:bCs/>
          <w:sz w:val="24"/>
          <w:szCs w:val="24"/>
        </w:rPr>
        <w:t>ur</w:t>
      </w:r>
      <w:proofErr w:type="spellEnd"/>
      <w:r w:rsidR="00FD500C">
        <w:rPr>
          <w:rFonts w:ascii="Times New Roman" w:hAnsi="Times New Roman" w:cs="Times New Roman"/>
          <w:bCs/>
          <w:sz w:val="24"/>
          <w:szCs w:val="24"/>
        </w:rPr>
        <w:t xml:space="preserve"> / </w:t>
      </w:r>
      <w:r w:rsidR="00643D5C">
        <w:rPr>
          <w:rFonts w:ascii="Times New Roman" w:hAnsi="Times New Roman" w:cs="Times New Roman"/>
          <w:bCs/>
          <w:sz w:val="24"/>
          <w:szCs w:val="24"/>
        </w:rPr>
        <w:t xml:space="preserve">8 </w:t>
      </w:r>
      <w:r w:rsidR="00FD500C" w:rsidRPr="00FD500C">
        <w:rPr>
          <w:rFonts w:ascii="Times New Roman" w:hAnsi="Times New Roman" w:cs="Times New Roman"/>
          <w:bCs/>
          <w:sz w:val="24"/>
          <w:szCs w:val="24"/>
        </w:rPr>
        <w:t>472</w:t>
      </w:r>
      <w:r w:rsidR="00FD500C">
        <w:rPr>
          <w:rFonts w:ascii="Times New Roman" w:hAnsi="Times New Roman" w:cs="Times New Roman"/>
          <w:bCs/>
          <w:sz w:val="24"/>
          <w:szCs w:val="24"/>
        </w:rPr>
        <w:t xml:space="preserve"> </w:t>
      </w:r>
      <w:r w:rsidR="00FD500C" w:rsidRPr="00FD500C">
        <w:rPr>
          <w:rFonts w:ascii="Times New Roman" w:hAnsi="Times New Roman" w:cs="Times New Roman"/>
          <w:bCs/>
          <w:sz w:val="24"/>
          <w:szCs w:val="24"/>
        </w:rPr>
        <w:t>597,00</w:t>
      </w:r>
      <w:r w:rsidR="00FD500C">
        <w:rPr>
          <w:rFonts w:ascii="Times New Roman" w:hAnsi="Times New Roman" w:cs="Times New Roman"/>
          <w:bCs/>
          <w:sz w:val="24"/>
          <w:szCs w:val="24"/>
        </w:rPr>
        <w:t xml:space="preserve"> km ≈ </w:t>
      </w:r>
      <w:r w:rsidR="00643D5C">
        <w:rPr>
          <w:rFonts w:ascii="Times New Roman" w:hAnsi="Times New Roman" w:cs="Times New Roman"/>
          <w:bCs/>
          <w:sz w:val="24"/>
          <w:szCs w:val="24"/>
        </w:rPr>
        <w:t xml:space="preserve">0,14 </w:t>
      </w:r>
      <w:proofErr w:type="spellStart"/>
      <w:r w:rsidR="00643D5C">
        <w:rPr>
          <w:rFonts w:ascii="Times New Roman" w:hAnsi="Times New Roman" w:cs="Times New Roman"/>
          <w:bCs/>
          <w:sz w:val="24"/>
          <w:szCs w:val="24"/>
        </w:rPr>
        <w:t>Eur</w:t>
      </w:r>
      <w:proofErr w:type="spellEnd"/>
      <w:r w:rsidR="00643D5C">
        <w:rPr>
          <w:rFonts w:ascii="Times New Roman" w:hAnsi="Times New Roman" w:cs="Times New Roman"/>
          <w:bCs/>
          <w:sz w:val="24"/>
          <w:szCs w:val="24"/>
        </w:rPr>
        <w:t xml:space="preserve"> (</w:t>
      </w:r>
      <w:proofErr w:type="spellStart"/>
      <w:r w:rsidR="00643D5C">
        <w:rPr>
          <w:rFonts w:ascii="Times New Roman" w:hAnsi="Times New Roman" w:cs="Times New Roman"/>
          <w:bCs/>
          <w:sz w:val="24"/>
          <w:szCs w:val="24"/>
        </w:rPr>
        <w:t>su</w:t>
      </w:r>
      <w:proofErr w:type="spellEnd"/>
      <w:r w:rsidR="00643D5C">
        <w:rPr>
          <w:rFonts w:ascii="Times New Roman" w:hAnsi="Times New Roman" w:cs="Times New Roman"/>
          <w:bCs/>
          <w:sz w:val="24"/>
          <w:szCs w:val="24"/>
        </w:rPr>
        <w:t xml:space="preserve"> PVM)</w:t>
      </w:r>
      <w:r w:rsidR="00FD500C">
        <w:rPr>
          <w:rFonts w:ascii="Times New Roman" w:hAnsi="Times New Roman" w:cs="Times New Roman"/>
          <w:bCs/>
          <w:sz w:val="24"/>
          <w:szCs w:val="24"/>
        </w:rPr>
        <w:t xml:space="preserve"> </w:t>
      </w:r>
    </w:p>
    <w:p w14:paraId="5B778D73" w14:textId="77777777" w:rsidR="00C07A69" w:rsidRDefault="00C07A69" w:rsidP="00594572">
      <w:pPr>
        <w:pStyle w:val="Default"/>
        <w:tabs>
          <w:tab w:val="left" w:pos="1134"/>
        </w:tabs>
        <w:spacing w:line="276" w:lineRule="auto"/>
        <w:jc w:val="both"/>
        <w:rPr>
          <w:rFonts w:ascii="Times New Roman" w:hAnsi="Times New Roman" w:cs="Times New Roman"/>
        </w:rPr>
      </w:pPr>
    </w:p>
    <w:p w14:paraId="147A5DD4"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bCs/>
        </w:rPr>
        <w:t>Atliktų skaičiavimų darbiniai dokumentai saugomi kaip CPVA darbiniai failai.</w:t>
      </w:r>
    </w:p>
    <w:p w14:paraId="356E5AD1" w14:textId="711CA853"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rPr>
        <w:t xml:space="preserve">Tinkamų finansuoti </w:t>
      </w:r>
      <w:r>
        <w:rPr>
          <w:rFonts w:ascii="Times New Roman" w:hAnsi="Times New Roman" w:cs="Times New Roman"/>
          <w:bCs/>
        </w:rPr>
        <w:t xml:space="preserve">su STS automobilių naudojimu susijusių eksploatacinių išlaidų dydis nustatomas STS automobilių nuvažiuotų kilometrų skaičių padauginus iš </w:t>
      </w:r>
      <w:r>
        <w:rPr>
          <w:rFonts w:ascii="Times New Roman" w:eastAsiaTheme="minorEastAsia" w:hAnsi="Times New Roman" w:cs="Times New Roman"/>
        </w:rPr>
        <w:t xml:space="preserve">fiksuotosios metinės STS veiklos proporcijos </w:t>
      </w:r>
      <m:oMath>
        <m:sSub>
          <m:sSubPr>
            <m:ctrlPr>
              <w:rPr>
                <w:rFonts w:ascii="Cambria Math" w:hAnsi="Cambria Math"/>
              </w:rPr>
            </m:ctrlPr>
          </m:sSubPr>
          <m:e>
            <m:r>
              <w:rPr>
                <w:rFonts w:ascii="Cambria Math" w:hAnsi="Cambria Math"/>
              </w:rPr>
              <m:t>STS</m:t>
            </m:r>
          </m:e>
          <m:sub>
            <m:r>
              <w:rPr>
                <w:rFonts w:ascii="Cambria Math" w:hAnsi="Cambria Math"/>
              </w:rPr>
              <m:t>nmetų</m:t>
            </m:r>
          </m:sub>
        </m:sSub>
      </m:oMath>
      <w:r>
        <w:rPr>
          <w:rFonts w:ascii="Times New Roman" w:eastAsiaTheme="minorEastAsia" w:hAnsi="Times New Roman" w:cs="Times New Roman"/>
        </w:rPr>
        <w:t xml:space="preserve"> </w:t>
      </w:r>
      <w:r w:rsidR="00947F90">
        <w:rPr>
          <w:rFonts w:ascii="Times New Roman" w:eastAsiaTheme="minorEastAsia" w:hAnsi="Times New Roman" w:cs="Times New Roman"/>
        </w:rPr>
        <w:t xml:space="preserve">(proc.) </w:t>
      </w:r>
      <w:r>
        <w:rPr>
          <w:rFonts w:ascii="Times New Roman" w:eastAsiaTheme="minorEastAsia" w:hAnsi="Times New Roman" w:cs="Times New Roman"/>
        </w:rPr>
        <w:t xml:space="preserve">ir automobilių eksploatacinių išlaidų </w:t>
      </w:r>
      <w:r>
        <w:rPr>
          <w:rFonts w:ascii="Times New Roman" w:eastAsiaTheme="minorEastAsia" w:hAnsi="Times New Roman" w:cs="Times New Roman"/>
          <w:color w:val="00000A"/>
        </w:rPr>
        <w:t>FĮ.</w:t>
      </w:r>
    </w:p>
    <w:p w14:paraId="659EE4BB" w14:textId="69AB85F9"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bCs/>
        </w:rPr>
        <w:t xml:space="preserve">STS automobilių nuvažiuotų kilometrų skaičių PD nurodo, kartu su </w:t>
      </w:r>
      <w:r w:rsidR="0060565A">
        <w:rPr>
          <w:rFonts w:ascii="Times New Roman" w:hAnsi="Times New Roman" w:cs="Times New Roman"/>
          <w:bCs/>
        </w:rPr>
        <w:t>IDD</w:t>
      </w:r>
      <w:r>
        <w:rPr>
          <w:rFonts w:ascii="Times New Roman" w:hAnsi="Times New Roman" w:cs="Times New Roman"/>
          <w:bCs/>
        </w:rPr>
        <w:t xml:space="preserve"> teikia</w:t>
      </w:r>
      <w:r w:rsidR="00194CE4">
        <w:rPr>
          <w:rFonts w:ascii="Times New Roman" w:hAnsi="Times New Roman" w:cs="Times New Roman"/>
          <w:bCs/>
        </w:rPr>
        <w:t>moje</w:t>
      </w:r>
      <w:r>
        <w:rPr>
          <w:rFonts w:ascii="Times New Roman" w:hAnsi="Times New Roman" w:cs="Times New Roman"/>
          <w:bCs/>
        </w:rPr>
        <w:t xml:space="preserve"> STS automobilių ridos </w:t>
      </w:r>
      <w:r w:rsidR="00194CE4">
        <w:rPr>
          <w:rFonts w:ascii="Times New Roman" w:hAnsi="Times New Roman" w:cs="Times New Roman"/>
          <w:bCs/>
        </w:rPr>
        <w:t xml:space="preserve">suvestinėje </w:t>
      </w:r>
      <w:r>
        <w:rPr>
          <w:rFonts w:ascii="Times New Roman" w:hAnsi="Times New Roman" w:cs="Times New Roman"/>
          <w:bCs/>
        </w:rPr>
        <w:t>ataskait</w:t>
      </w:r>
      <w:r w:rsidR="00194CE4">
        <w:rPr>
          <w:rFonts w:ascii="Times New Roman" w:hAnsi="Times New Roman" w:cs="Times New Roman"/>
          <w:bCs/>
        </w:rPr>
        <w:t>oje</w:t>
      </w:r>
      <w:r>
        <w:rPr>
          <w:rFonts w:ascii="Times New Roman" w:hAnsi="Times New Roman" w:cs="Times New Roman"/>
          <w:bCs/>
        </w:rPr>
        <w:t xml:space="preserve">. PD privalo </w:t>
      </w:r>
      <w:r w:rsidR="00947F90">
        <w:rPr>
          <w:rFonts w:ascii="Times New Roman" w:hAnsi="Times New Roman" w:cs="Times New Roman"/>
          <w:bCs/>
          <w:spacing w:val="-2"/>
        </w:rPr>
        <w:t xml:space="preserve">užtikrinti, kad </w:t>
      </w:r>
      <w:r>
        <w:rPr>
          <w:rFonts w:ascii="Times New Roman" w:hAnsi="Times New Roman" w:cs="Times New Roman"/>
          <w:bCs/>
          <w:spacing w:val="-2"/>
        </w:rPr>
        <w:t>šioje ataskaitoje nurodyti duomenys prireikus galėtų būti patikrinti su pirminiais duomenimis, t. y. su tarpinėmis ataskaitomis ir transporto priemonių kelionės lapais.</w:t>
      </w:r>
      <w:r>
        <w:rPr>
          <w:rFonts w:ascii="Times New Roman" w:hAnsi="Times New Roman" w:cs="Times New Roman"/>
          <w:spacing w:val="-2"/>
        </w:rPr>
        <w:t xml:space="preserve"> Kiti išlaidų pagrindimo ir (ar) jų apmokėjimo įrodymo dokumentai, pagrindžiantys projekto vykdytojo realiai patirtas išlaidas, neteikiami. Faktišką išlaidų patyrimą bei apskaitą tikrinti netikslinga.</w:t>
      </w:r>
    </w:p>
    <w:p w14:paraId="1BB9CDDA" w14:textId="4E884C0F"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spacing w:val="-2"/>
        </w:rPr>
        <w:lastRenderedPageBreak/>
        <w:t xml:space="preserve">Jeigu projekto vykdytojo faktiškai patirtų išlaidų suma būtų mažesnė nei ta, kuri gauta taikant automobilių eksploatacinių išlaidų </w:t>
      </w:r>
      <w:r>
        <w:rPr>
          <w:rFonts w:ascii="Times New Roman" w:hAnsi="Times New Roman" w:cs="Times New Roman"/>
          <w:color w:val="00000A"/>
          <w:spacing w:val="-2"/>
        </w:rPr>
        <w:t xml:space="preserve">FĮ, </w:t>
      </w:r>
      <w:r>
        <w:rPr>
          <w:rFonts w:ascii="Times New Roman" w:hAnsi="Times New Roman" w:cs="Times New Roman"/>
          <w:spacing w:val="-2"/>
        </w:rPr>
        <w:t>tuomet projekto vykdytojui atsiradusio skirtumo gr</w:t>
      </w:r>
      <w:r w:rsidR="008668E5">
        <w:rPr>
          <w:rFonts w:ascii="Times New Roman" w:hAnsi="Times New Roman" w:cs="Times New Roman"/>
          <w:spacing w:val="-2"/>
        </w:rPr>
        <w:t>ą</w:t>
      </w:r>
      <w:r>
        <w:rPr>
          <w:rFonts w:ascii="Times New Roman" w:hAnsi="Times New Roman" w:cs="Times New Roman"/>
          <w:spacing w:val="-2"/>
        </w:rPr>
        <w:t>žinti nereikia (ir atvirkščiai).</w:t>
      </w:r>
    </w:p>
    <w:p w14:paraId="421AD799" w14:textId="77777777"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bCs/>
        </w:rPr>
      </w:pPr>
      <w:r>
        <w:rPr>
          <w:rFonts w:ascii="Times New Roman" w:hAnsi="Times New Roman" w:cs="Times New Roman"/>
        </w:rPr>
        <w:t>Nuostatos dėl FĮ taikymo privalo būti aprašytos projekto sutartyje. FĮ</w:t>
      </w:r>
      <w:r>
        <w:rPr>
          <w:rFonts w:ascii="Times New Roman" w:hAnsi="Times New Roman" w:cs="Times New Roman"/>
          <w:spacing w:val="-2"/>
        </w:rPr>
        <w:t xml:space="preserve"> projekto įgyvendinimo metu nėra keičiamas išskyrus atvejus, kai pasikeičia jų taikymą reglamentuojantys teisės aktai.</w:t>
      </w:r>
    </w:p>
    <w:p w14:paraId="1ACDD34A" w14:textId="77777777" w:rsidR="00C07A69" w:rsidRDefault="00C07A69" w:rsidP="00594572">
      <w:pPr>
        <w:tabs>
          <w:tab w:val="left" w:pos="0"/>
        </w:tabs>
        <w:spacing w:after="0" w:line="276" w:lineRule="auto"/>
        <w:rPr>
          <w:rFonts w:ascii="Times New Roman" w:hAnsi="Times New Roman" w:cs="Times New Roman"/>
          <w:bCs/>
          <w:sz w:val="24"/>
          <w:szCs w:val="24"/>
        </w:rPr>
      </w:pPr>
    </w:p>
    <w:p w14:paraId="66657EFA" w14:textId="77777777" w:rsidR="00194CE4" w:rsidRDefault="00194CE4" w:rsidP="00594572">
      <w:pPr>
        <w:tabs>
          <w:tab w:val="left" w:pos="0"/>
        </w:tabs>
        <w:spacing w:after="0" w:line="276" w:lineRule="auto"/>
        <w:rPr>
          <w:rFonts w:ascii="Times New Roman" w:hAnsi="Times New Roman" w:cs="Times New Roman"/>
          <w:bCs/>
          <w:sz w:val="24"/>
          <w:szCs w:val="24"/>
        </w:rPr>
      </w:pPr>
    </w:p>
    <w:p w14:paraId="652F7507" w14:textId="7D0072D4" w:rsidR="00C07A69" w:rsidRDefault="00072BBC" w:rsidP="0059457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IV. STS VEIKLOS PROPORCIJOS TAIKYMAS KIT</w:t>
      </w:r>
      <w:r w:rsidR="00947F90">
        <w:rPr>
          <w:rFonts w:ascii="Times New Roman" w:hAnsi="Times New Roman" w:cs="Times New Roman"/>
          <w:b/>
          <w:bCs/>
          <w:sz w:val="24"/>
          <w:szCs w:val="24"/>
        </w:rPr>
        <w:t>OMS</w:t>
      </w:r>
      <w:r>
        <w:rPr>
          <w:rFonts w:ascii="Times New Roman" w:hAnsi="Times New Roman" w:cs="Times New Roman"/>
          <w:b/>
          <w:bCs/>
          <w:sz w:val="24"/>
          <w:szCs w:val="24"/>
        </w:rPr>
        <w:t xml:space="preserve"> IŠLAID</w:t>
      </w:r>
      <w:r w:rsidR="00947F90">
        <w:rPr>
          <w:rFonts w:ascii="Times New Roman" w:hAnsi="Times New Roman" w:cs="Times New Roman"/>
          <w:b/>
          <w:bCs/>
          <w:sz w:val="24"/>
          <w:szCs w:val="24"/>
        </w:rPr>
        <w:t>OMS</w:t>
      </w:r>
      <w:r>
        <w:rPr>
          <w:rFonts w:ascii="Times New Roman" w:hAnsi="Times New Roman" w:cs="Times New Roman"/>
          <w:b/>
          <w:bCs/>
          <w:sz w:val="24"/>
          <w:szCs w:val="24"/>
        </w:rPr>
        <w:t xml:space="preserve"> AP</w:t>
      </w:r>
      <w:r w:rsidR="0060565A">
        <w:rPr>
          <w:rFonts w:ascii="Times New Roman" w:hAnsi="Times New Roman" w:cs="Times New Roman"/>
          <w:b/>
          <w:bCs/>
          <w:sz w:val="24"/>
          <w:szCs w:val="24"/>
        </w:rPr>
        <w:t>SKAIČI</w:t>
      </w:r>
      <w:r w:rsidR="00947F90">
        <w:rPr>
          <w:rFonts w:ascii="Times New Roman" w:hAnsi="Times New Roman" w:cs="Times New Roman"/>
          <w:b/>
          <w:bCs/>
          <w:sz w:val="24"/>
          <w:szCs w:val="24"/>
        </w:rPr>
        <w:t>UOTI</w:t>
      </w:r>
      <w:r w:rsidR="006C42C3">
        <w:rPr>
          <w:rFonts w:ascii="Times New Roman" w:hAnsi="Times New Roman" w:cs="Times New Roman"/>
          <w:b/>
          <w:bCs/>
          <w:sz w:val="24"/>
          <w:szCs w:val="24"/>
        </w:rPr>
        <w:t xml:space="preserve"> IR DEKLAR</w:t>
      </w:r>
      <w:r w:rsidR="00947F90">
        <w:rPr>
          <w:rFonts w:ascii="Times New Roman" w:hAnsi="Times New Roman" w:cs="Times New Roman"/>
          <w:b/>
          <w:bCs/>
          <w:sz w:val="24"/>
          <w:szCs w:val="24"/>
        </w:rPr>
        <w:t>UOTI</w:t>
      </w:r>
    </w:p>
    <w:p w14:paraId="68A981C1" w14:textId="77777777" w:rsidR="00C07A69" w:rsidRDefault="00C07A69" w:rsidP="00594572">
      <w:pPr>
        <w:pStyle w:val="Default"/>
        <w:tabs>
          <w:tab w:val="left" w:pos="1134"/>
        </w:tabs>
        <w:spacing w:line="276" w:lineRule="auto"/>
        <w:jc w:val="both"/>
        <w:rPr>
          <w:rFonts w:ascii="Times New Roman" w:hAnsi="Times New Roman" w:cs="Times New Roman"/>
        </w:rPr>
      </w:pPr>
    </w:p>
    <w:p w14:paraId="49E3BEC0" w14:textId="23B8D629" w:rsidR="00C07A69" w:rsidRDefault="00226DFA"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rPr>
        <w:t xml:space="preserve">Metodikos 5.2 punkte numatytos </w:t>
      </w:r>
      <w:r w:rsidR="00072BBC">
        <w:rPr>
          <w:rFonts w:ascii="Times New Roman" w:hAnsi="Times New Roman" w:cs="Times New Roman"/>
          <w:bCs/>
        </w:rPr>
        <w:t xml:space="preserve">STS automobilių nuomos išlaidos apmokamos nuomos kainą padauginus iš </w:t>
      </w:r>
      <w:r w:rsidR="00072BBC">
        <w:rPr>
          <w:rFonts w:ascii="Times New Roman" w:eastAsiaTheme="minorEastAsia" w:hAnsi="Times New Roman" w:cs="Times New Roman"/>
        </w:rPr>
        <w:t xml:space="preserve">fiksuotosios metinės STS veiklos proporcijos </w:t>
      </w:r>
      <m:oMath>
        <m:sSub>
          <m:sSubPr>
            <m:ctrlPr>
              <w:rPr>
                <w:rFonts w:ascii="Cambria Math" w:hAnsi="Cambria Math"/>
              </w:rPr>
            </m:ctrlPr>
          </m:sSubPr>
          <m:e>
            <m:r>
              <w:rPr>
                <w:rFonts w:ascii="Cambria Math" w:hAnsi="Cambria Math"/>
              </w:rPr>
              <m:t>STS</m:t>
            </m:r>
          </m:e>
          <m:sub>
            <m:r>
              <w:rPr>
                <w:rFonts w:ascii="Cambria Math" w:hAnsi="Cambria Math"/>
              </w:rPr>
              <m:t>nmetų</m:t>
            </m:r>
          </m:sub>
        </m:sSub>
      </m:oMath>
      <w:r w:rsidR="00947F90" w:rsidRPr="00947F90">
        <w:rPr>
          <w:rFonts w:ascii="Times New Roman" w:eastAsiaTheme="minorEastAsia" w:hAnsi="Times New Roman" w:cs="Times New Roman"/>
        </w:rPr>
        <w:t xml:space="preserve"> </w:t>
      </w:r>
      <w:r w:rsidR="00947F90">
        <w:rPr>
          <w:rFonts w:ascii="Times New Roman" w:eastAsiaTheme="minorEastAsia" w:hAnsi="Times New Roman" w:cs="Times New Roman"/>
        </w:rPr>
        <w:t>(proc.).</w:t>
      </w:r>
      <w:r w:rsidR="00072BBC">
        <w:rPr>
          <w:rFonts w:ascii="Times New Roman" w:eastAsiaTheme="minorEastAsia" w:hAnsi="Times New Roman" w:cs="Times New Roman"/>
        </w:rPr>
        <w:t xml:space="preserve"> </w:t>
      </w:r>
      <w:r w:rsidR="00072BBC">
        <w:rPr>
          <w:rFonts w:ascii="Times New Roman" w:hAnsi="Times New Roman" w:cs="Times New Roman"/>
          <w:bCs/>
        </w:rPr>
        <w:t xml:space="preserve">PD kartu su </w:t>
      </w:r>
      <w:r w:rsidR="00194CE4">
        <w:rPr>
          <w:rFonts w:ascii="Times New Roman" w:hAnsi="Times New Roman" w:cs="Times New Roman"/>
          <w:bCs/>
        </w:rPr>
        <w:t>išlaidų deklaravimo dokumentais</w:t>
      </w:r>
      <w:r w:rsidR="00072BBC" w:rsidRPr="00194CE4">
        <w:rPr>
          <w:rFonts w:ascii="Times New Roman" w:hAnsi="Times New Roman" w:cs="Times New Roman"/>
          <w:bCs/>
        </w:rPr>
        <w:t xml:space="preserve"> t</w:t>
      </w:r>
      <w:r w:rsidR="00072BBC">
        <w:rPr>
          <w:rFonts w:ascii="Times New Roman" w:hAnsi="Times New Roman" w:cs="Times New Roman"/>
          <w:bCs/>
        </w:rPr>
        <w:t>eikia nuomos išlaidų patyrimą ir apmokėjimą pagrindžiančius dokumentus.</w:t>
      </w:r>
    </w:p>
    <w:p w14:paraId="4119AC55" w14:textId="748B91ED" w:rsidR="00C07A69" w:rsidRPr="00FE626B"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rPr>
        <w:t>Tinkamomis finansuoti laikomos tik tiesiogiai su STS veikla susijusios</w:t>
      </w:r>
      <w:r w:rsidR="00226DFA">
        <w:rPr>
          <w:rFonts w:ascii="Times New Roman" w:hAnsi="Times New Roman" w:cs="Times New Roman"/>
        </w:rPr>
        <w:t>, Metodikos 5.3 punkte numatytos,</w:t>
      </w:r>
      <w:r>
        <w:rPr>
          <w:rFonts w:ascii="Times New Roman" w:hAnsi="Times New Roman" w:cs="Times New Roman"/>
        </w:rPr>
        <w:t xml:space="preserve"> </w:t>
      </w:r>
      <w:r w:rsidR="00A73C90">
        <w:rPr>
          <w:rFonts w:ascii="Times New Roman" w:hAnsi="Times New Roman" w:cs="Times New Roman"/>
        </w:rPr>
        <w:t xml:space="preserve">policijos pareigūnų </w:t>
      </w:r>
      <w:r>
        <w:rPr>
          <w:rFonts w:ascii="Times New Roman" w:hAnsi="Times New Roman" w:cs="Times New Roman"/>
        </w:rPr>
        <w:t xml:space="preserve">darbo užmokesčio </w:t>
      </w:r>
      <w:r>
        <w:rPr>
          <w:rFonts w:ascii="Times New Roman" w:hAnsi="Times New Roman" w:cs="Times New Roman"/>
          <w:bCs/>
        </w:rPr>
        <w:t xml:space="preserve">bei su juo susijusių darbdavio įsipareigojimų </w:t>
      </w:r>
      <w:r>
        <w:rPr>
          <w:rFonts w:ascii="Times New Roman" w:hAnsi="Times New Roman" w:cs="Times New Roman"/>
        </w:rPr>
        <w:t xml:space="preserve">išlaidos, kurių suma </w:t>
      </w:r>
      <w:r>
        <w:rPr>
          <w:rFonts w:ascii="Times New Roman" w:hAnsi="Times New Roman" w:cs="Times New Roman"/>
          <w:bCs/>
          <w:spacing w:val="-2"/>
        </w:rPr>
        <w:t xml:space="preserve">apskaičiuojama </w:t>
      </w:r>
      <w:r>
        <w:rPr>
          <w:rFonts w:ascii="Times New Roman" w:hAnsi="Times New Roman" w:cs="Times New Roman"/>
        </w:rPr>
        <w:t xml:space="preserve">tiesiogiai su STS veikla susijusį darbo laiką (valandomis) padauginus </w:t>
      </w:r>
      <w:r>
        <w:rPr>
          <w:rFonts w:ascii="Times New Roman" w:hAnsi="Times New Roman" w:cs="Times New Roman"/>
          <w:bCs/>
          <w:spacing w:val="-2"/>
        </w:rPr>
        <w:t>iš fakt</w:t>
      </w:r>
      <w:r w:rsidRPr="00FE626B">
        <w:rPr>
          <w:rFonts w:ascii="Times New Roman" w:hAnsi="Times New Roman" w:cs="Times New Roman"/>
          <w:bCs/>
          <w:spacing w:val="-2"/>
        </w:rPr>
        <w:t xml:space="preserve">inio </w:t>
      </w:r>
      <w:r w:rsidR="00FE626B">
        <w:rPr>
          <w:rFonts w:ascii="Times New Roman" w:hAnsi="Times New Roman" w:cs="Times New Roman"/>
          <w:bCs/>
          <w:spacing w:val="-2"/>
        </w:rPr>
        <w:t>d</w:t>
      </w:r>
      <w:r w:rsidR="00FE626B" w:rsidRPr="00FE626B">
        <w:rPr>
          <w:rFonts w:ascii="Times New Roman" w:hAnsi="Times New Roman" w:cs="Times New Roman"/>
          <w:bCs/>
          <w:spacing w:val="-2"/>
        </w:rPr>
        <w:t>arbo užmokesčio bei su juo susijusių darbdavio įsipareigojimų 1 val. įkaini</w:t>
      </w:r>
      <w:r w:rsidR="00FE626B">
        <w:rPr>
          <w:rFonts w:ascii="Times New Roman" w:hAnsi="Times New Roman" w:cs="Times New Roman"/>
          <w:bCs/>
          <w:spacing w:val="-2"/>
        </w:rPr>
        <w:t>o</w:t>
      </w:r>
      <w:r w:rsidRPr="00FE626B">
        <w:rPr>
          <w:rFonts w:ascii="Times New Roman" w:hAnsi="Times New Roman" w:cs="Times New Roman"/>
          <w:bCs/>
          <w:spacing w:val="-2"/>
        </w:rPr>
        <w:t>.</w:t>
      </w:r>
    </w:p>
    <w:p w14:paraId="10F517E4" w14:textId="6E55DF20" w:rsidR="00C07A69"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sidRPr="00FE626B">
        <w:rPr>
          <w:rFonts w:ascii="Times New Roman" w:hAnsi="Times New Roman" w:cs="Times New Roman"/>
        </w:rPr>
        <w:t xml:space="preserve">Tiesiogiai su STS veikla susijęs </w:t>
      </w:r>
      <w:r>
        <w:rPr>
          <w:rFonts w:ascii="Times New Roman" w:hAnsi="Times New Roman" w:cs="Times New Roman"/>
        </w:rPr>
        <w:t>darbo laikas (valandomis) nustatomas bendrą faktinį policijos pareigūnų</w:t>
      </w:r>
      <w:r w:rsidR="0022338E">
        <w:rPr>
          <w:rFonts w:ascii="Times New Roman" w:hAnsi="Times New Roman" w:cs="Times New Roman"/>
        </w:rPr>
        <w:t>,</w:t>
      </w:r>
      <w:r>
        <w:rPr>
          <w:rFonts w:ascii="Times New Roman" w:hAnsi="Times New Roman" w:cs="Times New Roman"/>
        </w:rPr>
        <w:t xml:space="preserve"> vykdančių STS kontrolės funkciją</w:t>
      </w:r>
      <w:r w:rsidR="0022338E">
        <w:rPr>
          <w:rFonts w:ascii="Times New Roman" w:hAnsi="Times New Roman" w:cs="Times New Roman"/>
        </w:rPr>
        <w:t>,</w:t>
      </w:r>
      <w:r>
        <w:rPr>
          <w:rFonts w:ascii="Times New Roman" w:hAnsi="Times New Roman" w:cs="Times New Roman"/>
        </w:rPr>
        <w:t xml:space="preserve"> darbo </w:t>
      </w:r>
      <w:r w:rsidR="00281687">
        <w:rPr>
          <w:rFonts w:ascii="Times New Roman" w:hAnsi="Times New Roman" w:cs="Times New Roman"/>
        </w:rPr>
        <w:t>naudojant</w:t>
      </w:r>
      <w:r>
        <w:rPr>
          <w:rFonts w:ascii="Times New Roman" w:hAnsi="Times New Roman" w:cs="Times New Roman"/>
        </w:rPr>
        <w:t xml:space="preserve"> STS automobili</w:t>
      </w:r>
      <w:r w:rsidR="00281687">
        <w:rPr>
          <w:rFonts w:ascii="Times New Roman" w:hAnsi="Times New Roman" w:cs="Times New Roman"/>
        </w:rPr>
        <w:t>us</w:t>
      </w:r>
      <w:r>
        <w:rPr>
          <w:rFonts w:ascii="Times New Roman" w:hAnsi="Times New Roman" w:cs="Times New Roman"/>
        </w:rPr>
        <w:t xml:space="preserve"> laiką (bendras STS automobilių naudojimo laikas) (valandomis) padauginus iš </w:t>
      </w:r>
      <w:r>
        <w:rPr>
          <w:rFonts w:ascii="Times New Roman" w:eastAsiaTheme="minorEastAsia" w:hAnsi="Times New Roman" w:cs="Times New Roman"/>
        </w:rPr>
        <w:t xml:space="preserve">metinės STS veiklos proporcijos </w:t>
      </w:r>
      <m:oMath>
        <m:sSub>
          <m:sSubPr>
            <m:ctrlPr>
              <w:rPr>
                <w:rFonts w:ascii="Cambria Math" w:hAnsi="Cambria Math"/>
              </w:rPr>
            </m:ctrlPr>
          </m:sSubPr>
          <m:e>
            <m:r>
              <w:rPr>
                <w:rFonts w:ascii="Cambria Math" w:hAnsi="Cambria Math"/>
              </w:rPr>
              <m:t>STS</m:t>
            </m:r>
          </m:e>
          <m:sub>
            <m:r>
              <w:rPr>
                <w:rFonts w:ascii="Cambria Math" w:hAnsi="Cambria Math"/>
              </w:rPr>
              <m:t>nmetų</m:t>
            </m:r>
          </m:sub>
        </m:sSub>
      </m:oMath>
      <w:r w:rsidR="00947F90" w:rsidRPr="00947F90">
        <w:rPr>
          <w:rFonts w:ascii="Times New Roman" w:eastAsiaTheme="minorEastAsia" w:hAnsi="Times New Roman" w:cs="Times New Roman"/>
        </w:rPr>
        <w:t xml:space="preserve"> </w:t>
      </w:r>
      <w:r w:rsidR="00947F90">
        <w:rPr>
          <w:rFonts w:ascii="Times New Roman" w:eastAsiaTheme="minorEastAsia" w:hAnsi="Times New Roman" w:cs="Times New Roman"/>
        </w:rPr>
        <w:t>(proc.).</w:t>
      </w:r>
    </w:p>
    <w:p w14:paraId="25A24598" w14:textId="346CE6F9" w:rsidR="00C07A69" w:rsidRDefault="00FE626B"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bCs/>
          <w:spacing w:val="-2"/>
        </w:rPr>
        <w:t>Faktinis d</w:t>
      </w:r>
      <w:r w:rsidR="00072BBC">
        <w:rPr>
          <w:rFonts w:ascii="Times New Roman" w:hAnsi="Times New Roman" w:cs="Times New Roman"/>
          <w:bCs/>
          <w:spacing w:val="-2"/>
        </w:rPr>
        <w:t xml:space="preserve">arbo užmokesčio </w:t>
      </w:r>
      <w:r w:rsidR="00072BBC">
        <w:rPr>
          <w:rFonts w:ascii="Times New Roman" w:hAnsi="Times New Roman" w:cs="Times New Roman"/>
          <w:bCs/>
        </w:rPr>
        <w:t>bei su juo susijusių darbdavio įsipareigojimų</w:t>
      </w:r>
      <w:r w:rsidR="00072BBC">
        <w:rPr>
          <w:rFonts w:ascii="Times New Roman" w:hAnsi="Times New Roman" w:cs="Times New Roman"/>
          <w:bCs/>
          <w:spacing w:val="-2"/>
        </w:rPr>
        <w:t xml:space="preserve"> 1 val. įkainis apskaičiuojamas</w:t>
      </w:r>
      <w:r w:rsidR="00A01A91">
        <w:rPr>
          <w:rFonts w:ascii="Times New Roman" w:hAnsi="Times New Roman" w:cs="Times New Roman"/>
          <w:bCs/>
          <w:spacing w:val="-2"/>
        </w:rPr>
        <w:t xml:space="preserve"> bendrą</w:t>
      </w:r>
      <w:r w:rsidR="00072BBC">
        <w:rPr>
          <w:rFonts w:ascii="Times New Roman" w:hAnsi="Times New Roman" w:cs="Times New Roman"/>
          <w:bCs/>
          <w:spacing w:val="-2"/>
        </w:rPr>
        <w:t xml:space="preserve"> </w:t>
      </w:r>
      <w:r w:rsidR="00697786">
        <w:rPr>
          <w:rFonts w:ascii="Times New Roman" w:hAnsi="Times New Roman" w:cs="Times New Roman"/>
          <w:bCs/>
          <w:spacing w:val="-2"/>
        </w:rPr>
        <w:t xml:space="preserve">policijos pareigūnų </w:t>
      </w:r>
      <w:r w:rsidR="00072BBC">
        <w:rPr>
          <w:rFonts w:ascii="Times New Roman" w:hAnsi="Times New Roman" w:cs="Times New Roman"/>
          <w:bCs/>
          <w:spacing w:val="-2"/>
        </w:rPr>
        <w:t xml:space="preserve">mėnesio darbo užmokesčio </w:t>
      </w:r>
      <w:r w:rsidR="00072BBC">
        <w:rPr>
          <w:rFonts w:ascii="Times New Roman" w:hAnsi="Times New Roman" w:cs="Times New Roman"/>
          <w:bCs/>
        </w:rPr>
        <w:t xml:space="preserve">bei su juo susijusių darbdavio įsipareigojimų išlaidų sumą padalinus iš </w:t>
      </w:r>
      <w:r w:rsidR="00A01A91">
        <w:rPr>
          <w:rFonts w:ascii="Times New Roman" w:hAnsi="Times New Roman" w:cs="Times New Roman"/>
          <w:bCs/>
        </w:rPr>
        <w:t xml:space="preserve">bendro </w:t>
      </w:r>
      <w:r w:rsidR="00697786">
        <w:rPr>
          <w:rFonts w:ascii="Times New Roman" w:hAnsi="Times New Roman" w:cs="Times New Roman"/>
          <w:bCs/>
        </w:rPr>
        <w:t xml:space="preserve">policijos pareigūnų </w:t>
      </w:r>
      <w:r w:rsidR="00072BBC">
        <w:rPr>
          <w:rFonts w:ascii="Times New Roman" w:hAnsi="Times New Roman" w:cs="Times New Roman"/>
          <w:bCs/>
        </w:rPr>
        <w:t>dirbtų valandų skaičiaus.</w:t>
      </w:r>
    </w:p>
    <w:p w14:paraId="5D54A1CC" w14:textId="3B5240EF" w:rsidR="00C07A69" w:rsidRPr="00A9303C"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sidRPr="00A9303C">
        <w:rPr>
          <w:rFonts w:ascii="Times New Roman" w:hAnsi="Times New Roman" w:cs="Times New Roman"/>
          <w:bCs/>
        </w:rPr>
        <w:t>PD</w:t>
      </w:r>
      <w:r w:rsidR="0060565A">
        <w:rPr>
          <w:rFonts w:ascii="Times New Roman" w:hAnsi="Times New Roman" w:cs="Times New Roman"/>
          <w:bCs/>
        </w:rPr>
        <w:t xml:space="preserve"> kartu su IDD</w:t>
      </w:r>
      <w:r w:rsidRPr="00A9303C">
        <w:rPr>
          <w:rFonts w:ascii="Times New Roman" w:hAnsi="Times New Roman" w:cs="Times New Roman"/>
          <w:bCs/>
        </w:rPr>
        <w:t xml:space="preserve"> </w:t>
      </w:r>
      <w:r w:rsidR="001069C0">
        <w:rPr>
          <w:rFonts w:ascii="Times New Roman" w:hAnsi="Times New Roman" w:cs="Times New Roman"/>
          <w:bCs/>
        </w:rPr>
        <w:t xml:space="preserve">už ataskaitinį laikotarpį </w:t>
      </w:r>
      <w:r w:rsidRPr="00A9303C">
        <w:rPr>
          <w:rFonts w:ascii="Times New Roman" w:hAnsi="Times New Roman" w:cs="Times New Roman"/>
          <w:bCs/>
        </w:rPr>
        <w:t>teikia:</w:t>
      </w:r>
    </w:p>
    <w:p w14:paraId="08E33F4C" w14:textId="6DB95EFA" w:rsidR="0022338E" w:rsidRPr="009203C8" w:rsidRDefault="004E739C" w:rsidP="00594572">
      <w:pPr>
        <w:pStyle w:val="Default"/>
        <w:numPr>
          <w:ilvl w:val="1"/>
          <w:numId w:val="1"/>
        </w:numPr>
        <w:tabs>
          <w:tab w:val="left" w:pos="1276"/>
        </w:tabs>
        <w:spacing w:line="276" w:lineRule="auto"/>
        <w:ind w:left="0" w:firstLine="709"/>
        <w:jc w:val="both"/>
        <w:rPr>
          <w:rFonts w:ascii="Times New Roman" w:hAnsi="Times New Roman" w:cs="Times New Roman"/>
        </w:rPr>
      </w:pPr>
      <w:r w:rsidRPr="009203C8">
        <w:rPr>
          <w:rFonts w:ascii="Times New Roman" w:hAnsi="Times New Roman" w:cs="Times New Roman"/>
        </w:rPr>
        <w:t xml:space="preserve">duomenis apie </w:t>
      </w:r>
      <w:r w:rsidR="00A9303C" w:rsidRPr="009203C8">
        <w:rPr>
          <w:rFonts w:ascii="Times New Roman" w:hAnsi="Times New Roman" w:cs="Times New Roman"/>
        </w:rPr>
        <w:t>policijos</w:t>
      </w:r>
      <w:r w:rsidR="0022338E" w:rsidRPr="009203C8">
        <w:rPr>
          <w:rFonts w:ascii="Times New Roman" w:hAnsi="Times New Roman" w:cs="Times New Roman"/>
        </w:rPr>
        <w:t xml:space="preserve"> pareigūnų, vykdančių STS kontrolės fun</w:t>
      </w:r>
      <w:r w:rsidR="00A9303C" w:rsidRPr="009203C8">
        <w:rPr>
          <w:rFonts w:ascii="Times New Roman" w:hAnsi="Times New Roman" w:cs="Times New Roman"/>
        </w:rPr>
        <w:t xml:space="preserve">kciją, </w:t>
      </w:r>
      <w:r w:rsidR="00A01A91" w:rsidRPr="009203C8">
        <w:rPr>
          <w:rFonts w:ascii="Times New Roman" w:hAnsi="Times New Roman" w:cs="Times New Roman"/>
        </w:rPr>
        <w:t xml:space="preserve">bendro </w:t>
      </w:r>
      <w:r w:rsidR="00A9303C" w:rsidRPr="009203C8">
        <w:rPr>
          <w:rFonts w:ascii="Times New Roman" w:hAnsi="Times New Roman" w:cs="Times New Roman"/>
        </w:rPr>
        <w:t xml:space="preserve">darbo užmokesčio bei su juo susijusių darbdavio įsipareigojimų </w:t>
      </w:r>
      <w:r w:rsidRPr="009203C8">
        <w:rPr>
          <w:rFonts w:ascii="Times New Roman" w:hAnsi="Times New Roman" w:cs="Times New Roman"/>
        </w:rPr>
        <w:t xml:space="preserve">priskaitytų </w:t>
      </w:r>
      <w:r w:rsidR="00A9303C" w:rsidRPr="009203C8">
        <w:rPr>
          <w:rFonts w:ascii="Times New Roman" w:hAnsi="Times New Roman" w:cs="Times New Roman"/>
        </w:rPr>
        <w:t>išlaidų</w:t>
      </w:r>
      <w:r w:rsidRPr="009203C8">
        <w:rPr>
          <w:rFonts w:ascii="Times New Roman" w:hAnsi="Times New Roman" w:cs="Times New Roman"/>
        </w:rPr>
        <w:t xml:space="preserve"> sumą. </w:t>
      </w:r>
      <w:r w:rsidRPr="009203C8">
        <w:rPr>
          <w:rFonts w:ascii="Times New Roman" w:hAnsi="Times New Roman" w:cs="Times New Roman"/>
          <w:bCs/>
        </w:rPr>
        <w:t xml:space="preserve">PD privalo </w:t>
      </w:r>
      <w:r w:rsidRPr="009203C8">
        <w:rPr>
          <w:rFonts w:ascii="Times New Roman" w:hAnsi="Times New Roman" w:cs="Times New Roman"/>
          <w:bCs/>
          <w:spacing w:val="-2"/>
        </w:rPr>
        <w:t>užtikrinti, kad  šie duomenys prireikus galėtų būti patikrinami su pirminiais duomenimis</w:t>
      </w:r>
      <w:r w:rsidR="00A73C90" w:rsidRPr="009203C8">
        <w:rPr>
          <w:rFonts w:ascii="Times New Roman" w:hAnsi="Times New Roman" w:cs="Times New Roman"/>
          <w:bCs/>
          <w:spacing w:val="-2"/>
        </w:rPr>
        <w:t xml:space="preserve"> (</w:t>
      </w:r>
      <w:r w:rsidR="001069C0" w:rsidRPr="009203C8">
        <w:rPr>
          <w:rFonts w:ascii="Times New Roman" w:hAnsi="Times New Roman" w:cs="Times New Roman"/>
          <w:bCs/>
          <w:spacing w:val="-2"/>
        </w:rPr>
        <w:t xml:space="preserve">darbo laiko apskaitos žiniaraščiais, </w:t>
      </w:r>
      <w:r w:rsidRPr="009203C8">
        <w:rPr>
          <w:rFonts w:ascii="Times New Roman" w:hAnsi="Times New Roman" w:cs="Times New Roman"/>
          <w:bCs/>
          <w:spacing w:val="-2"/>
        </w:rPr>
        <w:t>darbo užmokesčio priskaitymo žiniaraščiais, įsakymais ir</w:t>
      </w:r>
      <w:r w:rsidR="00A01A91" w:rsidRPr="009203C8">
        <w:rPr>
          <w:rFonts w:ascii="Times New Roman" w:hAnsi="Times New Roman" w:cs="Times New Roman"/>
          <w:bCs/>
          <w:spacing w:val="-2"/>
        </w:rPr>
        <w:t xml:space="preserve"> kt. dokumentais</w:t>
      </w:r>
      <w:r w:rsidR="00A73C90" w:rsidRPr="009203C8">
        <w:rPr>
          <w:rFonts w:ascii="Times New Roman" w:hAnsi="Times New Roman" w:cs="Times New Roman"/>
          <w:bCs/>
          <w:spacing w:val="-2"/>
        </w:rPr>
        <w:t>)</w:t>
      </w:r>
      <w:r w:rsidR="00A9303C" w:rsidRPr="009203C8">
        <w:rPr>
          <w:rFonts w:ascii="Times New Roman" w:hAnsi="Times New Roman" w:cs="Times New Roman"/>
        </w:rPr>
        <w:t>;</w:t>
      </w:r>
    </w:p>
    <w:p w14:paraId="4EE52672" w14:textId="548AFBF5" w:rsidR="00A9303C" w:rsidRPr="00A9303C" w:rsidRDefault="001069C0" w:rsidP="00594572">
      <w:pPr>
        <w:pStyle w:val="Default"/>
        <w:numPr>
          <w:ilvl w:val="1"/>
          <w:numId w:val="1"/>
        </w:numPr>
        <w:tabs>
          <w:tab w:val="left" w:pos="1276"/>
        </w:tabs>
        <w:spacing w:line="276" w:lineRule="auto"/>
        <w:ind w:left="0" w:firstLine="709"/>
        <w:jc w:val="both"/>
        <w:rPr>
          <w:rFonts w:ascii="Times New Roman" w:hAnsi="Times New Roman" w:cs="Times New Roman"/>
        </w:rPr>
      </w:pPr>
      <w:r>
        <w:rPr>
          <w:rFonts w:ascii="Times New Roman" w:hAnsi="Times New Roman" w:cs="Times New Roman"/>
        </w:rPr>
        <w:t xml:space="preserve">duomenis apie </w:t>
      </w:r>
      <w:r w:rsidR="00A9303C" w:rsidRPr="00A9303C">
        <w:rPr>
          <w:rFonts w:ascii="Times New Roman" w:hAnsi="Times New Roman" w:cs="Times New Roman"/>
        </w:rPr>
        <w:t xml:space="preserve">policijos pareigūnų, vykdančių STS kontrolės funkciją, </w:t>
      </w:r>
      <w:r w:rsidR="00A01A91">
        <w:rPr>
          <w:rFonts w:ascii="Times New Roman" w:hAnsi="Times New Roman" w:cs="Times New Roman"/>
        </w:rPr>
        <w:t xml:space="preserve">bendrą </w:t>
      </w:r>
      <w:r w:rsidR="00A9303C" w:rsidRPr="00A9303C">
        <w:rPr>
          <w:rFonts w:ascii="Times New Roman" w:hAnsi="Times New Roman" w:cs="Times New Roman"/>
        </w:rPr>
        <w:t>darbo laik</w:t>
      </w:r>
      <w:r>
        <w:rPr>
          <w:rFonts w:ascii="Times New Roman" w:hAnsi="Times New Roman" w:cs="Times New Roman"/>
        </w:rPr>
        <w:t>ą</w:t>
      </w:r>
      <w:r w:rsidR="00A9303C" w:rsidRPr="00A9303C">
        <w:rPr>
          <w:rFonts w:ascii="Times New Roman" w:hAnsi="Times New Roman" w:cs="Times New Roman"/>
        </w:rPr>
        <w:t xml:space="preserve">. </w:t>
      </w:r>
      <w:r w:rsidR="007515AB" w:rsidRPr="00A9303C">
        <w:rPr>
          <w:rFonts w:ascii="Times New Roman" w:hAnsi="Times New Roman" w:cs="Times New Roman"/>
          <w:bCs/>
        </w:rPr>
        <w:t xml:space="preserve">PD privalo </w:t>
      </w:r>
      <w:r w:rsidR="007515AB" w:rsidRPr="00A9303C">
        <w:rPr>
          <w:rFonts w:ascii="Times New Roman" w:hAnsi="Times New Roman" w:cs="Times New Roman"/>
          <w:bCs/>
          <w:spacing w:val="-2"/>
        </w:rPr>
        <w:t>užtikrinti, kad  šie duomenys prireikus galėtų būti patikrinami su pirminiais duomenimis</w:t>
      </w:r>
      <w:r w:rsidR="00A73C90">
        <w:rPr>
          <w:rFonts w:ascii="Times New Roman" w:hAnsi="Times New Roman" w:cs="Times New Roman"/>
          <w:bCs/>
          <w:spacing w:val="-2"/>
        </w:rPr>
        <w:t xml:space="preserve"> (</w:t>
      </w:r>
      <w:r w:rsidR="00A9303C" w:rsidRPr="00A9303C">
        <w:rPr>
          <w:rFonts w:ascii="Times New Roman" w:hAnsi="Times New Roman" w:cs="Times New Roman"/>
          <w:bCs/>
          <w:spacing w:val="-2"/>
        </w:rPr>
        <w:t xml:space="preserve">darbo laiko apskaitos žiniaraščiais, įsakymais ir </w:t>
      </w:r>
      <w:r w:rsidR="00A01A91">
        <w:rPr>
          <w:rFonts w:ascii="Times New Roman" w:hAnsi="Times New Roman" w:cs="Times New Roman"/>
          <w:bCs/>
          <w:spacing w:val="-2"/>
        </w:rPr>
        <w:t>kt. dokumentais</w:t>
      </w:r>
      <w:r w:rsidR="009203C8">
        <w:rPr>
          <w:rFonts w:ascii="Times New Roman" w:hAnsi="Times New Roman" w:cs="Times New Roman"/>
          <w:bCs/>
          <w:spacing w:val="-2"/>
        </w:rPr>
        <w:t>)</w:t>
      </w:r>
      <w:r w:rsidR="00A9303C" w:rsidRPr="00A9303C">
        <w:rPr>
          <w:rFonts w:ascii="Times New Roman" w:hAnsi="Times New Roman" w:cs="Times New Roman"/>
          <w:bCs/>
          <w:spacing w:val="-2"/>
        </w:rPr>
        <w:t>;</w:t>
      </w:r>
    </w:p>
    <w:p w14:paraId="245EC4D8" w14:textId="4117E4DF" w:rsidR="007515AB" w:rsidRPr="009203C8" w:rsidRDefault="00072BBC" w:rsidP="00594572">
      <w:pPr>
        <w:pStyle w:val="Default"/>
        <w:numPr>
          <w:ilvl w:val="1"/>
          <w:numId w:val="1"/>
        </w:numPr>
        <w:tabs>
          <w:tab w:val="left" w:pos="1276"/>
        </w:tabs>
        <w:spacing w:line="276" w:lineRule="auto"/>
        <w:ind w:left="0" w:firstLine="709"/>
        <w:jc w:val="both"/>
        <w:rPr>
          <w:rFonts w:ascii="Times New Roman" w:hAnsi="Times New Roman" w:cs="Times New Roman"/>
        </w:rPr>
      </w:pPr>
      <w:r w:rsidRPr="00A9303C">
        <w:rPr>
          <w:rFonts w:ascii="Times New Roman" w:hAnsi="Times New Roman" w:cs="Times New Roman"/>
          <w:bCs/>
          <w:spacing w:val="-2"/>
        </w:rPr>
        <w:t xml:space="preserve">darbo užmokesčio </w:t>
      </w:r>
      <w:r w:rsidRPr="00A9303C">
        <w:rPr>
          <w:rFonts w:ascii="Times New Roman" w:hAnsi="Times New Roman" w:cs="Times New Roman"/>
          <w:bCs/>
        </w:rPr>
        <w:t>bei su juo susijusių darbdavio įsipareigojimų</w:t>
      </w:r>
      <w:r w:rsidRPr="00A9303C">
        <w:rPr>
          <w:rFonts w:ascii="Times New Roman" w:hAnsi="Times New Roman" w:cs="Times New Roman"/>
          <w:bCs/>
          <w:spacing w:val="-2"/>
        </w:rPr>
        <w:t xml:space="preserve"> 1 val. įkainio apskaičiavim</w:t>
      </w:r>
      <w:r w:rsidR="00022B9E">
        <w:rPr>
          <w:rFonts w:ascii="Times New Roman" w:hAnsi="Times New Roman" w:cs="Times New Roman"/>
          <w:bCs/>
          <w:spacing w:val="-2"/>
        </w:rPr>
        <w:t>ą</w:t>
      </w:r>
      <w:r w:rsidR="00213E3B">
        <w:rPr>
          <w:rFonts w:ascii="Times New Roman" w:hAnsi="Times New Roman" w:cs="Times New Roman"/>
          <w:bCs/>
          <w:spacing w:val="-2"/>
        </w:rPr>
        <w:t xml:space="preserve"> </w:t>
      </w:r>
      <w:r w:rsidR="00022B9E">
        <w:rPr>
          <w:rFonts w:ascii="Times New Roman" w:hAnsi="Times New Roman" w:cs="Times New Roman"/>
          <w:bCs/>
          <w:spacing w:val="-2"/>
        </w:rPr>
        <w:t xml:space="preserve">(pagal </w:t>
      </w:r>
      <w:r w:rsidR="005A6832">
        <w:rPr>
          <w:rFonts w:ascii="Times New Roman" w:hAnsi="Times New Roman" w:cs="Times New Roman"/>
          <w:bCs/>
          <w:spacing w:val="-2"/>
        </w:rPr>
        <w:t xml:space="preserve">Metodikos </w:t>
      </w:r>
      <w:r w:rsidR="00022B9E">
        <w:rPr>
          <w:rFonts w:ascii="Times New Roman" w:hAnsi="Times New Roman" w:cs="Times New Roman"/>
          <w:bCs/>
          <w:spacing w:val="-2"/>
        </w:rPr>
        <w:t>2</w:t>
      </w:r>
      <w:r w:rsidR="003C6B3F">
        <w:rPr>
          <w:rFonts w:ascii="Times New Roman" w:hAnsi="Times New Roman" w:cs="Times New Roman"/>
          <w:bCs/>
          <w:spacing w:val="-2"/>
        </w:rPr>
        <w:t>8</w:t>
      </w:r>
      <w:r w:rsidR="00022B9E">
        <w:rPr>
          <w:rFonts w:ascii="Times New Roman" w:hAnsi="Times New Roman" w:cs="Times New Roman"/>
          <w:bCs/>
          <w:spacing w:val="-2"/>
        </w:rPr>
        <w:t>.</w:t>
      </w:r>
      <w:r w:rsidR="009203C8">
        <w:rPr>
          <w:rFonts w:ascii="Times New Roman" w:hAnsi="Times New Roman" w:cs="Times New Roman"/>
          <w:bCs/>
          <w:spacing w:val="-2"/>
        </w:rPr>
        <w:t xml:space="preserve">1 </w:t>
      </w:r>
      <w:r w:rsidR="00022B9E">
        <w:rPr>
          <w:rFonts w:ascii="Times New Roman" w:hAnsi="Times New Roman" w:cs="Times New Roman"/>
          <w:bCs/>
          <w:spacing w:val="-2"/>
        </w:rPr>
        <w:t>ir 2</w:t>
      </w:r>
      <w:r w:rsidR="003C6B3F">
        <w:rPr>
          <w:rFonts w:ascii="Times New Roman" w:hAnsi="Times New Roman" w:cs="Times New Roman"/>
          <w:bCs/>
          <w:spacing w:val="-2"/>
        </w:rPr>
        <w:t>8</w:t>
      </w:r>
      <w:r w:rsidR="00022B9E">
        <w:rPr>
          <w:rFonts w:ascii="Times New Roman" w:hAnsi="Times New Roman" w:cs="Times New Roman"/>
          <w:bCs/>
          <w:spacing w:val="-2"/>
        </w:rPr>
        <w:t>.</w:t>
      </w:r>
      <w:r w:rsidR="009203C8">
        <w:rPr>
          <w:rFonts w:ascii="Times New Roman" w:hAnsi="Times New Roman" w:cs="Times New Roman"/>
          <w:bCs/>
          <w:spacing w:val="-2"/>
        </w:rPr>
        <w:t>2</w:t>
      </w:r>
      <w:r w:rsidR="00022B9E">
        <w:rPr>
          <w:rFonts w:ascii="Times New Roman" w:hAnsi="Times New Roman" w:cs="Times New Roman"/>
          <w:bCs/>
          <w:spacing w:val="-2"/>
        </w:rPr>
        <w:t xml:space="preserve"> punktuose nurodytus duomenis)</w:t>
      </w:r>
      <w:r w:rsidR="007515AB">
        <w:rPr>
          <w:rFonts w:ascii="Times New Roman" w:hAnsi="Times New Roman" w:cs="Times New Roman"/>
          <w:bCs/>
          <w:spacing w:val="-2"/>
        </w:rPr>
        <w:t>;</w:t>
      </w:r>
    </w:p>
    <w:p w14:paraId="3D99AB10" w14:textId="6F5DC4DC" w:rsidR="009203C8" w:rsidRPr="009203C8" w:rsidRDefault="009203C8" w:rsidP="00594572">
      <w:pPr>
        <w:pStyle w:val="Default"/>
        <w:numPr>
          <w:ilvl w:val="1"/>
          <w:numId w:val="1"/>
        </w:numPr>
        <w:tabs>
          <w:tab w:val="left" w:pos="1276"/>
        </w:tabs>
        <w:spacing w:line="276" w:lineRule="auto"/>
        <w:ind w:left="0" w:firstLine="709"/>
        <w:jc w:val="both"/>
        <w:rPr>
          <w:rFonts w:ascii="Times New Roman" w:hAnsi="Times New Roman" w:cs="Times New Roman"/>
        </w:rPr>
      </w:pPr>
      <w:r w:rsidRPr="00A9303C">
        <w:rPr>
          <w:rFonts w:ascii="Times New Roman" w:hAnsi="Times New Roman" w:cs="Times New Roman"/>
        </w:rPr>
        <w:t xml:space="preserve">duomenis apie STS automobilių naudojimo laiką, policijos pareigūnams vykdant STS kontrolės funkciją. </w:t>
      </w:r>
      <w:r w:rsidRPr="00A9303C">
        <w:rPr>
          <w:rFonts w:ascii="Times New Roman" w:hAnsi="Times New Roman" w:cs="Times New Roman"/>
          <w:bCs/>
        </w:rPr>
        <w:t xml:space="preserve">PD privalo </w:t>
      </w:r>
      <w:r w:rsidRPr="00A9303C">
        <w:rPr>
          <w:rFonts w:ascii="Times New Roman" w:hAnsi="Times New Roman" w:cs="Times New Roman"/>
          <w:bCs/>
          <w:spacing w:val="-2"/>
        </w:rPr>
        <w:t>užtikrinti, kad  šie duomenys prireikus galėtų būti patikrinami su pirminiais duomenimis, t. y. su automobilių kelionės lapais, Vieningos pajėgų valdymo sistemos duomenimis ir Policijos registruojamų įvykių registro (PRIR) duomenimis</w:t>
      </w:r>
      <w:r w:rsidR="00947F90">
        <w:rPr>
          <w:rFonts w:ascii="Times New Roman" w:hAnsi="Times New Roman" w:cs="Times New Roman"/>
          <w:bCs/>
          <w:spacing w:val="-2"/>
        </w:rPr>
        <w:t>;</w:t>
      </w:r>
    </w:p>
    <w:p w14:paraId="4F4AAB60" w14:textId="3E458530" w:rsidR="00C07A69" w:rsidRPr="00A9303C" w:rsidRDefault="007515AB" w:rsidP="00594572">
      <w:pPr>
        <w:pStyle w:val="Default"/>
        <w:numPr>
          <w:ilvl w:val="1"/>
          <w:numId w:val="1"/>
        </w:numPr>
        <w:tabs>
          <w:tab w:val="left" w:pos="1276"/>
        </w:tabs>
        <w:spacing w:line="276" w:lineRule="auto"/>
        <w:ind w:left="0" w:firstLine="709"/>
        <w:jc w:val="both"/>
        <w:rPr>
          <w:rFonts w:ascii="Times New Roman" w:hAnsi="Times New Roman" w:cs="Times New Roman"/>
        </w:rPr>
      </w:pPr>
      <w:r>
        <w:rPr>
          <w:rFonts w:ascii="Times New Roman" w:hAnsi="Times New Roman" w:cs="Times New Roman"/>
          <w:bCs/>
          <w:spacing w:val="-2"/>
        </w:rPr>
        <w:lastRenderedPageBreak/>
        <w:t>deklaruojamo</w:t>
      </w:r>
      <w:r w:rsidR="00022B9E">
        <w:rPr>
          <w:rFonts w:ascii="Times New Roman" w:hAnsi="Times New Roman" w:cs="Times New Roman"/>
          <w:bCs/>
          <w:spacing w:val="-2"/>
        </w:rPr>
        <w:t>s</w:t>
      </w:r>
      <w:r>
        <w:rPr>
          <w:rFonts w:ascii="Times New Roman" w:hAnsi="Times New Roman" w:cs="Times New Roman"/>
          <w:bCs/>
          <w:spacing w:val="-2"/>
        </w:rPr>
        <w:t xml:space="preserve"> darbo užmokesčio bei susijusių darbdavio įsipareigojimų</w:t>
      </w:r>
      <w:r w:rsidR="00022B9E">
        <w:rPr>
          <w:rFonts w:ascii="Times New Roman" w:hAnsi="Times New Roman" w:cs="Times New Roman"/>
          <w:bCs/>
          <w:spacing w:val="-2"/>
        </w:rPr>
        <w:t xml:space="preserve"> išlaidų</w:t>
      </w:r>
      <w:r w:rsidR="009203C8">
        <w:rPr>
          <w:rFonts w:ascii="Times New Roman" w:hAnsi="Times New Roman" w:cs="Times New Roman"/>
          <w:bCs/>
          <w:spacing w:val="-2"/>
        </w:rPr>
        <w:t xml:space="preserve"> sumos</w:t>
      </w:r>
      <w:r w:rsidR="00022B9E">
        <w:rPr>
          <w:rFonts w:ascii="Times New Roman" w:hAnsi="Times New Roman" w:cs="Times New Roman"/>
          <w:bCs/>
          <w:spacing w:val="-2"/>
        </w:rPr>
        <w:t xml:space="preserve"> apskaičiavimą </w:t>
      </w:r>
      <w:r>
        <w:rPr>
          <w:rFonts w:ascii="Times New Roman" w:hAnsi="Times New Roman" w:cs="Times New Roman"/>
          <w:bCs/>
          <w:spacing w:val="-2"/>
        </w:rPr>
        <w:t>(pagal 2</w:t>
      </w:r>
      <w:r w:rsidR="003C6B3F">
        <w:rPr>
          <w:rFonts w:ascii="Times New Roman" w:hAnsi="Times New Roman" w:cs="Times New Roman"/>
          <w:bCs/>
          <w:spacing w:val="-2"/>
        </w:rPr>
        <w:t>8</w:t>
      </w:r>
      <w:r>
        <w:rPr>
          <w:rFonts w:ascii="Times New Roman" w:hAnsi="Times New Roman" w:cs="Times New Roman"/>
          <w:bCs/>
          <w:spacing w:val="-2"/>
        </w:rPr>
        <w:t>.</w:t>
      </w:r>
      <w:r w:rsidR="009203C8">
        <w:rPr>
          <w:rFonts w:ascii="Times New Roman" w:hAnsi="Times New Roman" w:cs="Times New Roman"/>
          <w:bCs/>
          <w:spacing w:val="-2"/>
        </w:rPr>
        <w:t xml:space="preserve">3 </w:t>
      </w:r>
      <w:r>
        <w:rPr>
          <w:rFonts w:ascii="Times New Roman" w:hAnsi="Times New Roman" w:cs="Times New Roman"/>
          <w:bCs/>
          <w:spacing w:val="-2"/>
        </w:rPr>
        <w:t>ir 2</w:t>
      </w:r>
      <w:r w:rsidR="003C6B3F">
        <w:rPr>
          <w:rFonts w:ascii="Times New Roman" w:hAnsi="Times New Roman" w:cs="Times New Roman"/>
          <w:bCs/>
          <w:spacing w:val="-2"/>
        </w:rPr>
        <w:t>8</w:t>
      </w:r>
      <w:r>
        <w:rPr>
          <w:rFonts w:ascii="Times New Roman" w:hAnsi="Times New Roman" w:cs="Times New Roman"/>
          <w:bCs/>
          <w:spacing w:val="-2"/>
        </w:rPr>
        <w:t>.4 punktuose nurodytus duomenis).</w:t>
      </w:r>
    </w:p>
    <w:p w14:paraId="7E9D71E4" w14:textId="1FAA09D8" w:rsidR="00C07A69" w:rsidRDefault="005C286B" w:rsidP="00594572">
      <w:pPr>
        <w:pStyle w:val="Default"/>
        <w:numPr>
          <w:ilvl w:val="0"/>
          <w:numId w:val="1"/>
        </w:numPr>
        <w:tabs>
          <w:tab w:val="left" w:pos="1134"/>
        </w:tabs>
        <w:spacing w:line="276" w:lineRule="auto"/>
        <w:ind w:left="0" w:firstLine="720"/>
        <w:jc w:val="both"/>
        <w:rPr>
          <w:rFonts w:ascii="Times New Roman" w:hAnsi="Times New Roman" w:cs="Times New Roman"/>
        </w:rPr>
      </w:pPr>
      <w:r w:rsidRPr="005C286B">
        <w:rPr>
          <w:rFonts w:ascii="Times New Roman" w:hAnsi="Times New Roman" w:cs="Times New Roman"/>
        </w:rPr>
        <w:t xml:space="preserve">Kiti išlaidų pagrindimo ir (ar) jų apmokėjimo įrodymo dokumentai, pagrindžiantys </w:t>
      </w:r>
      <w:r>
        <w:rPr>
          <w:rFonts w:ascii="Times New Roman" w:hAnsi="Times New Roman" w:cs="Times New Roman"/>
        </w:rPr>
        <w:t>PD</w:t>
      </w:r>
      <w:r w:rsidRPr="005C286B">
        <w:rPr>
          <w:rFonts w:ascii="Times New Roman" w:hAnsi="Times New Roman" w:cs="Times New Roman"/>
        </w:rPr>
        <w:t xml:space="preserve"> </w:t>
      </w:r>
      <w:r>
        <w:rPr>
          <w:rFonts w:ascii="Times New Roman" w:hAnsi="Times New Roman" w:cs="Times New Roman"/>
        </w:rPr>
        <w:t>faktiškai</w:t>
      </w:r>
      <w:r w:rsidRPr="005C286B">
        <w:rPr>
          <w:rFonts w:ascii="Times New Roman" w:hAnsi="Times New Roman" w:cs="Times New Roman"/>
        </w:rPr>
        <w:t xml:space="preserve"> patirtas darbo užmokesčio bei su juo susijusių darbdavio įsipareigojimų išlaidas </w:t>
      </w:r>
      <w:r w:rsidRPr="005C286B">
        <w:rPr>
          <w:rFonts w:ascii="Times New Roman" w:hAnsi="Times New Roman" w:cs="Times New Roman"/>
          <w:bCs/>
        </w:rPr>
        <w:t>gali būti teikiami esant poreikiui</w:t>
      </w:r>
      <w:r w:rsidRPr="005C286B">
        <w:rPr>
          <w:rFonts w:ascii="Times New Roman" w:hAnsi="Times New Roman" w:cs="Times New Roman"/>
        </w:rPr>
        <w:t>. Tikrinimas</w:t>
      </w:r>
      <w:r>
        <w:rPr>
          <w:rFonts w:ascii="Times New Roman" w:hAnsi="Times New Roman" w:cs="Times New Roman"/>
        </w:rPr>
        <w:t>,</w:t>
      </w:r>
      <w:r w:rsidRPr="005C286B">
        <w:rPr>
          <w:rFonts w:ascii="Times New Roman" w:hAnsi="Times New Roman" w:cs="Times New Roman"/>
        </w:rPr>
        <w:t xml:space="preserve"> ar deklaruota darbo užmokesčio bei su juo susijusių darbdavio įsipareigojimų išlaidų suma atitinka į projekto vykdytojo buhalterinę apskaitą įtrauktą darbo užmokesčio bei su juo susijusių darbdavio įsipareigojimų išlaidų sumą</w:t>
      </w:r>
      <w:r>
        <w:rPr>
          <w:rFonts w:ascii="Times New Roman" w:hAnsi="Times New Roman" w:cs="Times New Roman"/>
        </w:rPr>
        <w:t>,</w:t>
      </w:r>
      <w:r w:rsidRPr="005C286B">
        <w:rPr>
          <w:rFonts w:ascii="Times New Roman" w:hAnsi="Times New Roman" w:cs="Times New Roman"/>
        </w:rPr>
        <w:t xml:space="preserve"> yra netikslingas, kadangi deklaruojama darbo užmokesčio bei su juo susijusių darbdavio įsipareigojimų išlaidų suma apskaičiuojama pagal tiesiogiai su STS veikla susijusį darbo laiką (STS automobilių naudojimo laiką) ir darbo užmokesčio bei su juo susijusių darbdavio įsipareigojimų 1 val. įkainį</w:t>
      </w:r>
      <w:r w:rsidR="00072BBC">
        <w:rPr>
          <w:rFonts w:ascii="Times New Roman" w:hAnsi="Times New Roman" w:cs="Times New Roman"/>
          <w:spacing w:val="-2"/>
        </w:rPr>
        <w:t>.</w:t>
      </w:r>
    </w:p>
    <w:p w14:paraId="792726DE" w14:textId="5B3DEE80" w:rsidR="00C07A69" w:rsidRPr="00930E7B" w:rsidRDefault="00072BBC" w:rsidP="00594572">
      <w:pPr>
        <w:pStyle w:val="Default"/>
        <w:numPr>
          <w:ilvl w:val="0"/>
          <w:numId w:val="1"/>
        </w:numPr>
        <w:tabs>
          <w:tab w:val="left" w:pos="1134"/>
        </w:tabs>
        <w:spacing w:line="276" w:lineRule="auto"/>
        <w:ind w:left="0" w:firstLine="720"/>
        <w:jc w:val="both"/>
        <w:rPr>
          <w:rFonts w:ascii="Times New Roman" w:hAnsi="Times New Roman" w:cs="Times New Roman"/>
        </w:rPr>
      </w:pPr>
      <w:r>
        <w:rPr>
          <w:rFonts w:ascii="Times New Roman" w:hAnsi="Times New Roman" w:cs="Times New Roman"/>
          <w:spacing w:val="-2"/>
        </w:rPr>
        <w:t>Jeigu projekto vykdytojo faktiškai patirt</w:t>
      </w:r>
      <w:r w:rsidR="00947F90">
        <w:rPr>
          <w:rFonts w:ascii="Times New Roman" w:hAnsi="Times New Roman" w:cs="Times New Roman"/>
          <w:spacing w:val="-2"/>
        </w:rPr>
        <w:t>a</w:t>
      </w:r>
      <w:r>
        <w:rPr>
          <w:rFonts w:ascii="Times New Roman" w:hAnsi="Times New Roman" w:cs="Times New Roman"/>
          <w:spacing w:val="-2"/>
        </w:rPr>
        <w:t xml:space="preserve"> STS veiklą vykdančių darbuotojų darbo užmokesčio bei su </w:t>
      </w:r>
      <w:r>
        <w:rPr>
          <w:rFonts w:ascii="Times New Roman" w:hAnsi="Times New Roman" w:cs="Times New Roman"/>
          <w:bCs/>
        </w:rPr>
        <w:t>juo susijusių darbdavio įsipareigojimų</w:t>
      </w:r>
      <w:r>
        <w:rPr>
          <w:rFonts w:ascii="Times New Roman" w:hAnsi="Times New Roman" w:cs="Times New Roman"/>
          <w:spacing w:val="-2"/>
        </w:rPr>
        <w:t xml:space="preserve"> išlaidų suma būtų mažesnė nei ta, kuri gauta taikant </w:t>
      </w:r>
      <w:r>
        <w:rPr>
          <w:rFonts w:ascii="Times New Roman" w:hAnsi="Times New Roman" w:cs="Times New Roman"/>
          <w:bCs/>
          <w:spacing w:val="-2"/>
        </w:rPr>
        <w:t xml:space="preserve">darbuotojų, vykdžiusių STS veiklą, darbo užmokesčio </w:t>
      </w:r>
      <w:r>
        <w:rPr>
          <w:rFonts w:ascii="Times New Roman" w:hAnsi="Times New Roman" w:cs="Times New Roman"/>
          <w:bCs/>
        </w:rPr>
        <w:t>bei su juo susijusių darbdavio įsipareigojimų</w:t>
      </w:r>
      <w:r>
        <w:rPr>
          <w:rFonts w:ascii="Times New Roman" w:hAnsi="Times New Roman" w:cs="Times New Roman"/>
          <w:bCs/>
          <w:spacing w:val="-2"/>
        </w:rPr>
        <w:t xml:space="preserve"> 1 val. įkainį</w:t>
      </w:r>
      <w:r>
        <w:rPr>
          <w:rFonts w:ascii="Times New Roman" w:hAnsi="Times New Roman" w:cs="Times New Roman"/>
          <w:color w:val="00000A"/>
          <w:spacing w:val="-2"/>
        </w:rPr>
        <w:t xml:space="preserve">, </w:t>
      </w:r>
      <w:r>
        <w:rPr>
          <w:rFonts w:ascii="Times New Roman" w:hAnsi="Times New Roman" w:cs="Times New Roman"/>
          <w:spacing w:val="-2"/>
        </w:rPr>
        <w:t>tuomet projekto vykdytojui atsiradusio skirtumo grąžinti nereikia (ir atvirkščiai).</w:t>
      </w:r>
    </w:p>
    <w:p w14:paraId="76FF3C12" w14:textId="77777777" w:rsidR="00930E7B" w:rsidRDefault="00930E7B" w:rsidP="00930E7B">
      <w:pPr>
        <w:pStyle w:val="Default"/>
        <w:tabs>
          <w:tab w:val="left" w:pos="1134"/>
        </w:tabs>
        <w:jc w:val="both"/>
        <w:rPr>
          <w:rFonts w:ascii="Times New Roman" w:hAnsi="Times New Roman" w:cs="Times New Roman"/>
          <w:spacing w:val="-2"/>
        </w:rPr>
      </w:pPr>
    </w:p>
    <w:p w14:paraId="3CFEEE8F" w14:textId="1B12BCBE" w:rsidR="00930E7B" w:rsidRDefault="00930E7B" w:rsidP="00930E7B">
      <w:pPr>
        <w:pStyle w:val="Default"/>
        <w:tabs>
          <w:tab w:val="left" w:pos="1134"/>
        </w:tabs>
        <w:jc w:val="center"/>
        <w:rPr>
          <w:rFonts w:ascii="Times New Roman" w:hAnsi="Times New Roman" w:cs="Times New Roman"/>
        </w:rPr>
      </w:pPr>
      <w:r>
        <w:rPr>
          <w:rFonts w:ascii="Times New Roman" w:hAnsi="Times New Roman" w:cs="Times New Roman"/>
          <w:spacing w:val="-2"/>
        </w:rPr>
        <w:t>__________________________</w:t>
      </w:r>
    </w:p>
    <w:p w14:paraId="6E0B1A57" w14:textId="68A9ACD4" w:rsidR="007B31C9" w:rsidRDefault="007B31C9">
      <w:pPr>
        <w:spacing w:after="0" w:line="240" w:lineRule="auto"/>
        <w:rPr>
          <w:rFonts w:ascii="Calibri" w:eastAsia="Calibri" w:hAnsi="Calibri" w:cs="Calibri"/>
          <w:color w:val="000000"/>
          <w:sz w:val="24"/>
          <w:szCs w:val="24"/>
          <w:lang w:val="lt-LT"/>
        </w:rPr>
      </w:pPr>
      <w:r>
        <w:br w:type="page"/>
      </w:r>
    </w:p>
    <w:p w14:paraId="505821AC" w14:textId="38B381B4" w:rsidR="00C07A69" w:rsidRPr="007B31C9" w:rsidRDefault="007B31C9" w:rsidP="00B5517B">
      <w:pPr>
        <w:pStyle w:val="Default"/>
        <w:tabs>
          <w:tab w:val="left" w:pos="1134"/>
        </w:tabs>
        <w:ind w:left="5245"/>
        <w:jc w:val="both"/>
        <w:rPr>
          <w:rFonts w:ascii="Times New Roman" w:hAnsi="Times New Roman" w:cs="Times New Roman"/>
        </w:rPr>
      </w:pPr>
      <w:r w:rsidRPr="007B31C9">
        <w:rPr>
          <w:rFonts w:ascii="Times New Roman" w:hAnsi="Times New Roman" w:cs="Times New Roman"/>
        </w:rPr>
        <w:lastRenderedPageBreak/>
        <w:t>Policijos departamento prie Lietuvos Respublikos Vidaus reikalų ministerijos įgyvendinamų</w:t>
      </w:r>
      <w:r w:rsidR="00594572">
        <w:rPr>
          <w:rFonts w:ascii="Times New Roman" w:hAnsi="Times New Roman" w:cs="Times New Roman"/>
        </w:rPr>
        <w:t xml:space="preserve"> </w:t>
      </w:r>
      <w:r w:rsidRPr="007B31C9">
        <w:rPr>
          <w:rFonts w:ascii="Times New Roman" w:hAnsi="Times New Roman" w:cs="Times New Roman"/>
        </w:rPr>
        <w:t>2014-2020 m. Vidaus saugumo fondo papildomų veiklos sąnaudų projektų supaprastinto išlaidų apska</w:t>
      </w:r>
      <w:r w:rsidR="00B5517B">
        <w:rPr>
          <w:rFonts w:ascii="Times New Roman" w:hAnsi="Times New Roman" w:cs="Times New Roman"/>
        </w:rPr>
        <w:t>ičiavimo ir deklaravimo metodikos</w:t>
      </w:r>
    </w:p>
    <w:p w14:paraId="571CE725" w14:textId="71E8BACB" w:rsidR="007B31C9" w:rsidRDefault="00B5517B" w:rsidP="00B5517B">
      <w:pPr>
        <w:pStyle w:val="Default"/>
        <w:tabs>
          <w:tab w:val="left" w:pos="1134"/>
        </w:tabs>
        <w:ind w:left="5245"/>
        <w:jc w:val="both"/>
        <w:rPr>
          <w:rFonts w:ascii="Times New Roman" w:hAnsi="Times New Roman" w:cs="Times New Roman"/>
        </w:rPr>
      </w:pPr>
      <w:r>
        <w:rPr>
          <w:rFonts w:ascii="Times New Roman" w:hAnsi="Times New Roman" w:cs="Times New Roman"/>
        </w:rPr>
        <w:t>1 priedas</w:t>
      </w:r>
    </w:p>
    <w:p w14:paraId="493ADACD" w14:textId="77777777" w:rsidR="00B5517B" w:rsidRDefault="00B5517B">
      <w:pPr>
        <w:pStyle w:val="Default"/>
        <w:tabs>
          <w:tab w:val="left" w:pos="1134"/>
        </w:tabs>
        <w:ind w:left="720"/>
        <w:jc w:val="both"/>
        <w:rPr>
          <w:rFonts w:ascii="Times New Roman" w:hAnsi="Times New Roman" w:cs="Times New Roman"/>
        </w:rPr>
      </w:pPr>
    </w:p>
    <w:p w14:paraId="0852F32A" w14:textId="77777777" w:rsidR="00B5517B" w:rsidRDefault="00B5517B">
      <w:pPr>
        <w:pStyle w:val="Default"/>
        <w:tabs>
          <w:tab w:val="left" w:pos="1134"/>
        </w:tabs>
        <w:ind w:left="720"/>
        <w:jc w:val="both"/>
        <w:rPr>
          <w:rFonts w:ascii="Times New Roman" w:hAnsi="Times New Roman" w:cs="Times New Roman"/>
        </w:rPr>
      </w:pPr>
    </w:p>
    <w:p w14:paraId="714737A5" w14:textId="77777777" w:rsidR="00B5517B" w:rsidRPr="007B31C9" w:rsidRDefault="00B5517B">
      <w:pPr>
        <w:pStyle w:val="Default"/>
        <w:tabs>
          <w:tab w:val="left" w:pos="1134"/>
        </w:tabs>
        <w:ind w:left="720"/>
        <w:jc w:val="both"/>
        <w:rPr>
          <w:rFonts w:ascii="Times New Roman" w:hAnsi="Times New Roman" w:cs="Times New Roman"/>
        </w:rPr>
      </w:pPr>
    </w:p>
    <w:p w14:paraId="0ADC4E1C" w14:textId="56E5F720" w:rsidR="007B31C9" w:rsidRDefault="007B31C9" w:rsidP="00B5517B">
      <w:pPr>
        <w:pStyle w:val="Default"/>
        <w:tabs>
          <w:tab w:val="left" w:pos="1134"/>
        </w:tabs>
        <w:jc w:val="center"/>
        <w:rPr>
          <w:rFonts w:ascii="Times New Roman" w:hAnsi="Times New Roman" w:cs="Times New Roman"/>
          <w:b/>
          <w:caps/>
        </w:rPr>
      </w:pPr>
      <w:r w:rsidRPr="00B5517B">
        <w:rPr>
          <w:rFonts w:ascii="Times New Roman" w:hAnsi="Times New Roman" w:cs="Times New Roman"/>
          <w:b/>
          <w:caps/>
        </w:rPr>
        <w:t>Metinės STS veiklos proporcijos skaičiuojamoji lentelė</w:t>
      </w:r>
    </w:p>
    <w:p w14:paraId="54312C03" w14:textId="77777777" w:rsidR="00C80829" w:rsidRPr="00B5517B" w:rsidRDefault="00C80829" w:rsidP="00B5517B">
      <w:pPr>
        <w:pStyle w:val="Default"/>
        <w:tabs>
          <w:tab w:val="left" w:pos="1134"/>
        </w:tabs>
        <w:jc w:val="center"/>
        <w:rPr>
          <w:rFonts w:ascii="Times New Roman" w:hAnsi="Times New Roman" w:cs="Times New Roman"/>
          <w:b/>
          <w:caps/>
        </w:rPr>
      </w:pPr>
    </w:p>
    <w:p w14:paraId="4F466BC7" w14:textId="77777777" w:rsidR="007B31C9" w:rsidRPr="007B31C9" w:rsidRDefault="007B31C9">
      <w:pPr>
        <w:pStyle w:val="Default"/>
        <w:tabs>
          <w:tab w:val="left" w:pos="1134"/>
        </w:tabs>
        <w:ind w:left="72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271"/>
        <w:gridCol w:w="2410"/>
        <w:gridCol w:w="1559"/>
        <w:gridCol w:w="2693"/>
        <w:gridCol w:w="1745"/>
      </w:tblGrid>
      <w:tr w:rsidR="00594572" w:rsidRPr="007B31C9" w14:paraId="3EF6D5E2" w14:textId="77777777" w:rsidTr="00546C79">
        <w:trPr>
          <w:trHeight w:val="1789"/>
          <w:jc w:val="center"/>
        </w:trPr>
        <w:tc>
          <w:tcPr>
            <w:tcW w:w="1271" w:type="dxa"/>
            <w:vAlign w:val="center"/>
          </w:tcPr>
          <w:p w14:paraId="25137205" w14:textId="5ABE54A6" w:rsidR="007B31C9" w:rsidRPr="007B31C9" w:rsidRDefault="007B31C9" w:rsidP="00594572">
            <w:pPr>
              <w:pStyle w:val="Default"/>
              <w:tabs>
                <w:tab w:val="left" w:pos="1134"/>
              </w:tabs>
              <w:jc w:val="center"/>
              <w:rPr>
                <w:rFonts w:ascii="Times New Roman" w:hAnsi="Times New Roman" w:cs="Times New Roman"/>
              </w:rPr>
            </w:pPr>
            <w:r w:rsidRPr="007B31C9">
              <w:rPr>
                <w:rFonts w:ascii="Times New Roman" w:hAnsi="Times New Roman" w:cs="Times New Roman"/>
              </w:rPr>
              <w:t>Metai</w:t>
            </w:r>
            <w:r>
              <w:rPr>
                <w:rStyle w:val="FootnoteReference"/>
                <w:rFonts w:ascii="Times New Roman" w:hAnsi="Times New Roman" w:cs="Times New Roman"/>
              </w:rPr>
              <w:footnoteReference w:id="1"/>
            </w:r>
          </w:p>
        </w:tc>
        <w:tc>
          <w:tcPr>
            <w:tcW w:w="2410" w:type="dxa"/>
            <w:vAlign w:val="center"/>
          </w:tcPr>
          <w:p w14:paraId="7609E8E7" w14:textId="7E5555C5" w:rsidR="007B31C9" w:rsidRPr="007B31C9" w:rsidRDefault="007B31C9" w:rsidP="00594572">
            <w:pPr>
              <w:pStyle w:val="Default"/>
              <w:tabs>
                <w:tab w:val="left" w:pos="1134"/>
              </w:tabs>
              <w:jc w:val="center"/>
              <w:rPr>
                <w:rFonts w:ascii="Times New Roman" w:hAnsi="Times New Roman" w:cs="Times New Roman"/>
              </w:rPr>
            </w:pPr>
            <w:r w:rsidRPr="007B31C9">
              <w:rPr>
                <w:rFonts w:ascii="Times New Roman" w:hAnsi="Times New Roman" w:cs="Times New Roman"/>
              </w:rPr>
              <w:t xml:space="preserve">Automobilių srautas per Lietuvos teritoriją su Rusijos </w:t>
            </w:r>
            <w:r w:rsidR="00B5517B">
              <w:rPr>
                <w:rFonts w:ascii="Times New Roman" w:hAnsi="Times New Roman" w:cs="Times New Roman"/>
              </w:rPr>
              <w:t xml:space="preserve">Federacijos </w:t>
            </w:r>
            <w:r w:rsidRPr="007B31C9">
              <w:rPr>
                <w:rFonts w:ascii="Times New Roman" w:hAnsi="Times New Roman" w:cs="Times New Roman"/>
              </w:rPr>
              <w:t>valst</w:t>
            </w:r>
            <w:r w:rsidR="00B5517B">
              <w:rPr>
                <w:rFonts w:ascii="Times New Roman" w:hAnsi="Times New Roman" w:cs="Times New Roman"/>
              </w:rPr>
              <w:t>ybiniais</w:t>
            </w:r>
            <w:r w:rsidRPr="007B31C9">
              <w:rPr>
                <w:rFonts w:ascii="Times New Roman" w:hAnsi="Times New Roman" w:cs="Times New Roman"/>
              </w:rPr>
              <w:t xml:space="preserve"> Nr.</w:t>
            </w:r>
            <w:r w:rsidR="00594572">
              <w:rPr>
                <w:rFonts w:ascii="Times New Roman" w:hAnsi="Times New Roman" w:cs="Times New Roman"/>
              </w:rPr>
              <w:t>, vnt.</w:t>
            </w:r>
            <w:r>
              <w:rPr>
                <w:rStyle w:val="FootnoteReference"/>
                <w:rFonts w:ascii="Times New Roman" w:hAnsi="Times New Roman" w:cs="Times New Roman"/>
              </w:rPr>
              <w:footnoteReference w:id="2"/>
            </w:r>
          </w:p>
        </w:tc>
        <w:tc>
          <w:tcPr>
            <w:tcW w:w="1559" w:type="dxa"/>
            <w:vAlign w:val="center"/>
          </w:tcPr>
          <w:p w14:paraId="7538E3DF" w14:textId="1F9CFAE0" w:rsidR="007B31C9" w:rsidRPr="007B31C9" w:rsidRDefault="007B31C9" w:rsidP="00594572">
            <w:pPr>
              <w:pStyle w:val="Default"/>
              <w:tabs>
                <w:tab w:val="left" w:pos="1134"/>
              </w:tabs>
              <w:jc w:val="center"/>
              <w:rPr>
                <w:rFonts w:ascii="Times New Roman" w:hAnsi="Times New Roman" w:cs="Times New Roman"/>
              </w:rPr>
            </w:pPr>
            <w:r w:rsidRPr="007B31C9">
              <w:rPr>
                <w:rFonts w:ascii="Times New Roman" w:hAnsi="Times New Roman" w:cs="Times New Roman"/>
              </w:rPr>
              <w:t>STS automobilių skaičius, vnt.</w:t>
            </w:r>
            <w:r>
              <w:rPr>
                <w:rStyle w:val="FootnoteReference"/>
                <w:rFonts w:ascii="Times New Roman" w:hAnsi="Times New Roman" w:cs="Times New Roman"/>
              </w:rPr>
              <w:footnoteReference w:id="3"/>
            </w:r>
          </w:p>
        </w:tc>
        <w:tc>
          <w:tcPr>
            <w:tcW w:w="2693" w:type="dxa"/>
            <w:vAlign w:val="center"/>
          </w:tcPr>
          <w:p w14:paraId="228AC8E4" w14:textId="20EC0305" w:rsidR="007B31C9" w:rsidRPr="007B31C9" w:rsidRDefault="007B31C9" w:rsidP="00594572">
            <w:pPr>
              <w:pStyle w:val="Default"/>
              <w:tabs>
                <w:tab w:val="left" w:pos="1134"/>
              </w:tabs>
              <w:jc w:val="center"/>
              <w:rPr>
                <w:rFonts w:ascii="Times New Roman" w:hAnsi="Times New Roman" w:cs="Times New Roman"/>
              </w:rPr>
            </w:pPr>
            <w:r w:rsidRPr="007B31C9">
              <w:rPr>
                <w:rFonts w:ascii="Times New Roman" w:hAnsi="Times New Roman" w:cs="Times New Roman"/>
              </w:rPr>
              <w:t xml:space="preserve">Automobilių su Rusijos </w:t>
            </w:r>
            <w:r w:rsidR="00B5517B">
              <w:rPr>
                <w:rFonts w:ascii="Times New Roman" w:hAnsi="Times New Roman" w:cs="Times New Roman"/>
              </w:rPr>
              <w:t xml:space="preserve">Federacijos </w:t>
            </w:r>
            <w:r w:rsidRPr="007B31C9">
              <w:rPr>
                <w:rFonts w:ascii="Times New Roman" w:hAnsi="Times New Roman" w:cs="Times New Roman"/>
              </w:rPr>
              <w:t>valst</w:t>
            </w:r>
            <w:r w:rsidR="00B5517B">
              <w:rPr>
                <w:rFonts w:ascii="Times New Roman" w:hAnsi="Times New Roman" w:cs="Times New Roman"/>
              </w:rPr>
              <w:t>ybiniais</w:t>
            </w:r>
            <w:r w:rsidRPr="007B31C9">
              <w:rPr>
                <w:rFonts w:ascii="Times New Roman" w:hAnsi="Times New Roman" w:cs="Times New Roman"/>
              </w:rPr>
              <w:t xml:space="preserve"> Nr. srautas, tenkantis vienam policijos STS automobiliui, vnt.</w:t>
            </w:r>
            <w:r>
              <w:rPr>
                <w:rStyle w:val="FootnoteReference"/>
                <w:rFonts w:ascii="Times New Roman" w:hAnsi="Times New Roman" w:cs="Times New Roman"/>
              </w:rPr>
              <w:footnoteReference w:id="4"/>
            </w:r>
          </w:p>
        </w:tc>
        <w:tc>
          <w:tcPr>
            <w:tcW w:w="1745" w:type="dxa"/>
            <w:vAlign w:val="center"/>
          </w:tcPr>
          <w:p w14:paraId="41499571" w14:textId="20FD23AE" w:rsidR="007B31C9" w:rsidRPr="007B31C9" w:rsidRDefault="007B31C9" w:rsidP="00594572">
            <w:pPr>
              <w:pStyle w:val="Default"/>
              <w:tabs>
                <w:tab w:val="left" w:pos="1134"/>
              </w:tabs>
              <w:jc w:val="center"/>
              <w:rPr>
                <w:rFonts w:ascii="Times New Roman" w:hAnsi="Times New Roman" w:cs="Times New Roman"/>
              </w:rPr>
            </w:pPr>
            <w:r w:rsidRPr="007B31C9">
              <w:rPr>
                <w:rFonts w:ascii="Times New Roman" w:hAnsi="Times New Roman" w:cs="Times New Roman"/>
              </w:rPr>
              <w:t>Metinės STS veiklos proporcija, proc.</w:t>
            </w:r>
            <w:r>
              <w:rPr>
                <w:rStyle w:val="FootnoteReference"/>
                <w:rFonts w:ascii="Times New Roman" w:hAnsi="Times New Roman" w:cs="Times New Roman"/>
              </w:rPr>
              <w:footnoteReference w:id="5"/>
            </w:r>
          </w:p>
        </w:tc>
      </w:tr>
      <w:tr w:rsidR="00594572" w:rsidRPr="007B31C9" w14:paraId="483E0E70" w14:textId="77777777" w:rsidTr="00594572">
        <w:trPr>
          <w:jc w:val="center"/>
        </w:trPr>
        <w:tc>
          <w:tcPr>
            <w:tcW w:w="1271" w:type="dxa"/>
          </w:tcPr>
          <w:p w14:paraId="1E782408" w14:textId="5A3522BE" w:rsidR="007B31C9" w:rsidRPr="007B31C9" w:rsidRDefault="007B31C9" w:rsidP="007B31C9">
            <w:pPr>
              <w:pStyle w:val="Default"/>
              <w:tabs>
                <w:tab w:val="left" w:pos="1134"/>
              </w:tabs>
              <w:jc w:val="center"/>
              <w:rPr>
                <w:rFonts w:ascii="Times New Roman" w:hAnsi="Times New Roman" w:cs="Times New Roman"/>
              </w:rPr>
            </w:pPr>
            <w:r w:rsidRPr="007B31C9">
              <w:rPr>
                <w:rFonts w:ascii="Times New Roman" w:hAnsi="Times New Roman" w:cs="Times New Roman"/>
              </w:rPr>
              <w:t>2014</w:t>
            </w:r>
            <w:r>
              <w:rPr>
                <w:rStyle w:val="FootnoteReference"/>
                <w:rFonts w:ascii="Times New Roman" w:hAnsi="Times New Roman" w:cs="Times New Roman"/>
              </w:rPr>
              <w:footnoteReference w:id="6"/>
            </w:r>
          </w:p>
        </w:tc>
        <w:tc>
          <w:tcPr>
            <w:tcW w:w="2410" w:type="dxa"/>
          </w:tcPr>
          <w:p w14:paraId="020B1416" w14:textId="6A8829DD" w:rsidR="007B31C9" w:rsidRPr="007B31C9" w:rsidRDefault="007B31C9" w:rsidP="007B31C9">
            <w:pPr>
              <w:pStyle w:val="Default"/>
              <w:tabs>
                <w:tab w:val="left" w:pos="1134"/>
              </w:tabs>
              <w:jc w:val="center"/>
              <w:rPr>
                <w:rFonts w:ascii="Times New Roman" w:hAnsi="Times New Roman" w:cs="Times New Roman"/>
              </w:rPr>
            </w:pPr>
            <w:r w:rsidRPr="007B31C9">
              <w:rPr>
                <w:rFonts w:ascii="Times New Roman" w:hAnsi="Times New Roman" w:cs="Times New Roman"/>
              </w:rPr>
              <w:t>404</w:t>
            </w:r>
            <w:r w:rsidR="00C80829">
              <w:rPr>
                <w:rFonts w:ascii="Times New Roman" w:hAnsi="Times New Roman" w:cs="Times New Roman"/>
              </w:rPr>
              <w:t xml:space="preserve"> </w:t>
            </w:r>
            <w:r w:rsidRPr="007B31C9">
              <w:rPr>
                <w:rFonts w:ascii="Times New Roman" w:hAnsi="Times New Roman" w:cs="Times New Roman"/>
              </w:rPr>
              <w:t>905</w:t>
            </w:r>
          </w:p>
        </w:tc>
        <w:tc>
          <w:tcPr>
            <w:tcW w:w="1559" w:type="dxa"/>
          </w:tcPr>
          <w:p w14:paraId="7E0E46E9" w14:textId="04BB00CB" w:rsidR="007B31C9" w:rsidRPr="007B31C9" w:rsidRDefault="007B31C9" w:rsidP="007B31C9">
            <w:pPr>
              <w:spacing w:after="0" w:line="240" w:lineRule="auto"/>
              <w:jc w:val="center"/>
              <w:rPr>
                <w:rFonts w:ascii="Times New Roman" w:hAnsi="Times New Roman" w:cs="Times New Roman"/>
                <w:bCs/>
                <w:color w:val="000000"/>
                <w:sz w:val="24"/>
                <w:szCs w:val="24"/>
              </w:rPr>
            </w:pPr>
            <w:r w:rsidRPr="007B31C9">
              <w:rPr>
                <w:rFonts w:ascii="Times New Roman" w:hAnsi="Times New Roman" w:cs="Times New Roman"/>
                <w:bCs/>
                <w:color w:val="000000"/>
                <w:sz w:val="24"/>
                <w:szCs w:val="24"/>
              </w:rPr>
              <w:t>1</w:t>
            </w:r>
            <w:r w:rsidR="00C80829">
              <w:rPr>
                <w:rFonts w:ascii="Times New Roman" w:hAnsi="Times New Roman" w:cs="Times New Roman"/>
                <w:bCs/>
                <w:color w:val="000000"/>
                <w:sz w:val="24"/>
                <w:szCs w:val="24"/>
              </w:rPr>
              <w:t xml:space="preserve"> </w:t>
            </w:r>
            <w:r w:rsidRPr="007B31C9">
              <w:rPr>
                <w:rFonts w:ascii="Times New Roman" w:hAnsi="Times New Roman" w:cs="Times New Roman"/>
                <w:bCs/>
                <w:color w:val="000000"/>
                <w:sz w:val="24"/>
                <w:szCs w:val="24"/>
              </w:rPr>
              <w:t>217</w:t>
            </w:r>
          </w:p>
        </w:tc>
        <w:tc>
          <w:tcPr>
            <w:tcW w:w="2693" w:type="dxa"/>
          </w:tcPr>
          <w:p w14:paraId="04C35E53" w14:textId="02346EFE" w:rsidR="007B31C9" w:rsidRPr="007B31C9" w:rsidRDefault="007B31C9" w:rsidP="007B31C9">
            <w:pPr>
              <w:spacing w:after="0" w:line="240" w:lineRule="auto"/>
              <w:jc w:val="center"/>
              <w:rPr>
                <w:rFonts w:ascii="Times New Roman" w:hAnsi="Times New Roman" w:cs="Times New Roman"/>
                <w:bCs/>
                <w:color w:val="000000"/>
                <w:sz w:val="24"/>
                <w:szCs w:val="24"/>
              </w:rPr>
            </w:pPr>
            <w:r w:rsidRPr="007B31C9">
              <w:rPr>
                <w:rFonts w:ascii="Times New Roman" w:hAnsi="Times New Roman" w:cs="Times New Roman"/>
                <w:bCs/>
                <w:color w:val="000000"/>
                <w:sz w:val="24"/>
                <w:szCs w:val="24"/>
              </w:rPr>
              <w:t>332,707</w:t>
            </w:r>
          </w:p>
        </w:tc>
        <w:tc>
          <w:tcPr>
            <w:tcW w:w="1745" w:type="dxa"/>
          </w:tcPr>
          <w:p w14:paraId="56063C24" w14:textId="2F558DEE" w:rsidR="007B31C9" w:rsidRPr="007B31C9" w:rsidRDefault="007B31C9" w:rsidP="007B31C9">
            <w:pPr>
              <w:spacing w:after="0" w:line="240" w:lineRule="auto"/>
              <w:jc w:val="center"/>
              <w:rPr>
                <w:rFonts w:ascii="Times New Roman" w:hAnsi="Times New Roman" w:cs="Times New Roman"/>
                <w:bCs/>
                <w:color w:val="000000"/>
                <w:sz w:val="24"/>
                <w:szCs w:val="24"/>
              </w:rPr>
            </w:pPr>
            <w:r w:rsidRPr="007B31C9">
              <w:rPr>
                <w:rFonts w:ascii="Times New Roman" w:hAnsi="Times New Roman" w:cs="Times New Roman"/>
                <w:bCs/>
                <w:color w:val="000000"/>
                <w:sz w:val="24"/>
                <w:szCs w:val="24"/>
              </w:rPr>
              <w:t>13,00</w:t>
            </w:r>
          </w:p>
        </w:tc>
      </w:tr>
      <w:tr w:rsidR="00594572" w:rsidRPr="007B31C9" w14:paraId="2BA75075" w14:textId="77777777" w:rsidTr="00594572">
        <w:trPr>
          <w:jc w:val="center"/>
        </w:trPr>
        <w:tc>
          <w:tcPr>
            <w:tcW w:w="1271" w:type="dxa"/>
          </w:tcPr>
          <w:p w14:paraId="0FBCC4F8" w14:textId="738CB6C5" w:rsidR="007B31C9" w:rsidRPr="007B31C9" w:rsidRDefault="007B31C9" w:rsidP="007B31C9">
            <w:pPr>
              <w:pStyle w:val="Default"/>
              <w:tabs>
                <w:tab w:val="left" w:pos="1134"/>
              </w:tabs>
              <w:jc w:val="center"/>
              <w:rPr>
                <w:rFonts w:ascii="Times New Roman" w:hAnsi="Times New Roman" w:cs="Times New Roman"/>
              </w:rPr>
            </w:pPr>
            <w:r w:rsidRPr="007B31C9">
              <w:rPr>
                <w:rFonts w:ascii="Times New Roman" w:hAnsi="Times New Roman" w:cs="Times New Roman"/>
              </w:rPr>
              <w:t>2015</w:t>
            </w:r>
          </w:p>
        </w:tc>
        <w:tc>
          <w:tcPr>
            <w:tcW w:w="2410" w:type="dxa"/>
          </w:tcPr>
          <w:p w14:paraId="57DD0F3F" w14:textId="77777777" w:rsidR="007B31C9" w:rsidRPr="007B31C9" w:rsidRDefault="007B31C9">
            <w:pPr>
              <w:pStyle w:val="Default"/>
              <w:tabs>
                <w:tab w:val="left" w:pos="1134"/>
              </w:tabs>
              <w:jc w:val="both"/>
              <w:rPr>
                <w:rFonts w:ascii="Times New Roman" w:hAnsi="Times New Roman" w:cs="Times New Roman"/>
              </w:rPr>
            </w:pPr>
          </w:p>
        </w:tc>
        <w:tc>
          <w:tcPr>
            <w:tcW w:w="1559" w:type="dxa"/>
          </w:tcPr>
          <w:p w14:paraId="569EC3B8" w14:textId="77777777" w:rsidR="007B31C9" w:rsidRPr="007B31C9" w:rsidRDefault="007B31C9">
            <w:pPr>
              <w:pStyle w:val="Default"/>
              <w:tabs>
                <w:tab w:val="left" w:pos="1134"/>
              </w:tabs>
              <w:jc w:val="both"/>
              <w:rPr>
                <w:rFonts w:ascii="Times New Roman" w:hAnsi="Times New Roman" w:cs="Times New Roman"/>
              </w:rPr>
            </w:pPr>
          </w:p>
        </w:tc>
        <w:tc>
          <w:tcPr>
            <w:tcW w:w="2693" w:type="dxa"/>
          </w:tcPr>
          <w:p w14:paraId="23C74FE6" w14:textId="77777777" w:rsidR="007B31C9" w:rsidRPr="007B31C9" w:rsidRDefault="007B31C9">
            <w:pPr>
              <w:pStyle w:val="Default"/>
              <w:tabs>
                <w:tab w:val="left" w:pos="1134"/>
              </w:tabs>
              <w:jc w:val="both"/>
              <w:rPr>
                <w:rFonts w:ascii="Times New Roman" w:hAnsi="Times New Roman" w:cs="Times New Roman"/>
              </w:rPr>
            </w:pPr>
          </w:p>
        </w:tc>
        <w:tc>
          <w:tcPr>
            <w:tcW w:w="1745" w:type="dxa"/>
          </w:tcPr>
          <w:p w14:paraId="3050ED2B" w14:textId="77777777" w:rsidR="007B31C9" w:rsidRPr="007B31C9" w:rsidRDefault="007B31C9">
            <w:pPr>
              <w:pStyle w:val="Default"/>
              <w:tabs>
                <w:tab w:val="left" w:pos="1134"/>
              </w:tabs>
              <w:jc w:val="both"/>
              <w:rPr>
                <w:rFonts w:ascii="Times New Roman" w:hAnsi="Times New Roman" w:cs="Times New Roman"/>
              </w:rPr>
            </w:pPr>
          </w:p>
        </w:tc>
      </w:tr>
      <w:tr w:rsidR="00594572" w:rsidRPr="007B31C9" w14:paraId="39BBB86C" w14:textId="77777777" w:rsidTr="00594572">
        <w:trPr>
          <w:jc w:val="center"/>
        </w:trPr>
        <w:tc>
          <w:tcPr>
            <w:tcW w:w="1271" w:type="dxa"/>
          </w:tcPr>
          <w:p w14:paraId="4CC65712" w14:textId="784CABA2" w:rsidR="007B31C9" w:rsidRPr="007B31C9" w:rsidRDefault="007B31C9" w:rsidP="007B31C9">
            <w:pPr>
              <w:pStyle w:val="Default"/>
              <w:tabs>
                <w:tab w:val="left" w:pos="1134"/>
              </w:tabs>
              <w:jc w:val="center"/>
              <w:rPr>
                <w:rFonts w:ascii="Times New Roman" w:hAnsi="Times New Roman" w:cs="Times New Roman"/>
              </w:rPr>
            </w:pPr>
            <w:r w:rsidRPr="007B31C9">
              <w:rPr>
                <w:rFonts w:ascii="Times New Roman" w:hAnsi="Times New Roman" w:cs="Times New Roman"/>
              </w:rPr>
              <w:t>2016</w:t>
            </w:r>
          </w:p>
        </w:tc>
        <w:tc>
          <w:tcPr>
            <w:tcW w:w="2410" w:type="dxa"/>
          </w:tcPr>
          <w:p w14:paraId="70071AB6" w14:textId="77777777" w:rsidR="007B31C9" w:rsidRPr="007B31C9" w:rsidRDefault="007B31C9">
            <w:pPr>
              <w:pStyle w:val="Default"/>
              <w:tabs>
                <w:tab w:val="left" w:pos="1134"/>
              </w:tabs>
              <w:jc w:val="both"/>
              <w:rPr>
                <w:rFonts w:ascii="Times New Roman" w:hAnsi="Times New Roman" w:cs="Times New Roman"/>
              </w:rPr>
            </w:pPr>
          </w:p>
        </w:tc>
        <w:tc>
          <w:tcPr>
            <w:tcW w:w="1559" w:type="dxa"/>
          </w:tcPr>
          <w:p w14:paraId="5B98BBC4" w14:textId="77777777" w:rsidR="007B31C9" w:rsidRPr="007B31C9" w:rsidRDefault="007B31C9">
            <w:pPr>
              <w:pStyle w:val="Default"/>
              <w:tabs>
                <w:tab w:val="left" w:pos="1134"/>
              </w:tabs>
              <w:jc w:val="both"/>
              <w:rPr>
                <w:rFonts w:ascii="Times New Roman" w:hAnsi="Times New Roman" w:cs="Times New Roman"/>
              </w:rPr>
            </w:pPr>
          </w:p>
        </w:tc>
        <w:tc>
          <w:tcPr>
            <w:tcW w:w="2693" w:type="dxa"/>
          </w:tcPr>
          <w:p w14:paraId="0D682D97" w14:textId="77777777" w:rsidR="007B31C9" w:rsidRPr="007B31C9" w:rsidRDefault="007B31C9">
            <w:pPr>
              <w:pStyle w:val="Default"/>
              <w:tabs>
                <w:tab w:val="left" w:pos="1134"/>
              </w:tabs>
              <w:jc w:val="both"/>
              <w:rPr>
                <w:rFonts w:ascii="Times New Roman" w:hAnsi="Times New Roman" w:cs="Times New Roman"/>
              </w:rPr>
            </w:pPr>
          </w:p>
        </w:tc>
        <w:tc>
          <w:tcPr>
            <w:tcW w:w="1745" w:type="dxa"/>
          </w:tcPr>
          <w:p w14:paraId="70A9B618" w14:textId="77777777" w:rsidR="007B31C9" w:rsidRPr="007B31C9" w:rsidRDefault="007B31C9">
            <w:pPr>
              <w:pStyle w:val="Default"/>
              <w:tabs>
                <w:tab w:val="left" w:pos="1134"/>
              </w:tabs>
              <w:jc w:val="both"/>
              <w:rPr>
                <w:rFonts w:ascii="Times New Roman" w:hAnsi="Times New Roman" w:cs="Times New Roman"/>
              </w:rPr>
            </w:pPr>
          </w:p>
        </w:tc>
      </w:tr>
      <w:tr w:rsidR="00594572" w:rsidRPr="007B31C9" w14:paraId="4747F596" w14:textId="77777777" w:rsidTr="00594572">
        <w:trPr>
          <w:jc w:val="center"/>
        </w:trPr>
        <w:tc>
          <w:tcPr>
            <w:tcW w:w="1271" w:type="dxa"/>
          </w:tcPr>
          <w:p w14:paraId="719ECAE4" w14:textId="306160A9" w:rsidR="007B31C9" w:rsidRPr="007B31C9" w:rsidRDefault="007B31C9" w:rsidP="007B31C9">
            <w:pPr>
              <w:pStyle w:val="Default"/>
              <w:tabs>
                <w:tab w:val="left" w:pos="1134"/>
              </w:tabs>
              <w:jc w:val="center"/>
              <w:rPr>
                <w:rFonts w:ascii="Times New Roman" w:hAnsi="Times New Roman" w:cs="Times New Roman"/>
              </w:rPr>
            </w:pPr>
            <w:r w:rsidRPr="007B31C9">
              <w:rPr>
                <w:rFonts w:ascii="Times New Roman" w:hAnsi="Times New Roman" w:cs="Times New Roman"/>
              </w:rPr>
              <w:t>2017</w:t>
            </w:r>
          </w:p>
        </w:tc>
        <w:tc>
          <w:tcPr>
            <w:tcW w:w="2410" w:type="dxa"/>
          </w:tcPr>
          <w:p w14:paraId="73DA8DDA" w14:textId="77777777" w:rsidR="007B31C9" w:rsidRPr="007B31C9" w:rsidRDefault="007B31C9">
            <w:pPr>
              <w:pStyle w:val="Default"/>
              <w:tabs>
                <w:tab w:val="left" w:pos="1134"/>
              </w:tabs>
              <w:jc w:val="both"/>
              <w:rPr>
                <w:rFonts w:ascii="Times New Roman" w:hAnsi="Times New Roman" w:cs="Times New Roman"/>
              </w:rPr>
            </w:pPr>
          </w:p>
        </w:tc>
        <w:tc>
          <w:tcPr>
            <w:tcW w:w="1559" w:type="dxa"/>
          </w:tcPr>
          <w:p w14:paraId="2280DC4F" w14:textId="77777777" w:rsidR="007B31C9" w:rsidRPr="007B31C9" w:rsidRDefault="007B31C9">
            <w:pPr>
              <w:pStyle w:val="Default"/>
              <w:tabs>
                <w:tab w:val="left" w:pos="1134"/>
              </w:tabs>
              <w:jc w:val="both"/>
              <w:rPr>
                <w:rFonts w:ascii="Times New Roman" w:hAnsi="Times New Roman" w:cs="Times New Roman"/>
              </w:rPr>
            </w:pPr>
          </w:p>
        </w:tc>
        <w:tc>
          <w:tcPr>
            <w:tcW w:w="2693" w:type="dxa"/>
          </w:tcPr>
          <w:p w14:paraId="44907CC5" w14:textId="77777777" w:rsidR="007B31C9" w:rsidRPr="007B31C9" w:rsidRDefault="007B31C9">
            <w:pPr>
              <w:pStyle w:val="Default"/>
              <w:tabs>
                <w:tab w:val="left" w:pos="1134"/>
              </w:tabs>
              <w:jc w:val="both"/>
              <w:rPr>
                <w:rFonts w:ascii="Times New Roman" w:hAnsi="Times New Roman" w:cs="Times New Roman"/>
              </w:rPr>
            </w:pPr>
          </w:p>
        </w:tc>
        <w:tc>
          <w:tcPr>
            <w:tcW w:w="1745" w:type="dxa"/>
          </w:tcPr>
          <w:p w14:paraId="760F62A3" w14:textId="77777777" w:rsidR="007B31C9" w:rsidRPr="007B31C9" w:rsidRDefault="007B31C9">
            <w:pPr>
              <w:pStyle w:val="Default"/>
              <w:tabs>
                <w:tab w:val="left" w:pos="1134"/>
              </w:tabs>
              <w:jc w:val="both"/>
              <w:rPr>
                <w:rFonts w:ascii="Times New Roman" w:hAnsi="Times New Roman" w:cs="Times New Roman"/>
              </w:rPr>
            </w:pPr>
          </w:p>
        </w:tc>
      </w:tr>
      <w:tr w:rsidR="00594572" w:rsidRPr="007B31C9" w14:paraId="219B0F95" w14:textId="77777777" w:rsidTr="00594572">
        <w:trPr>
          <w:jc w:val="center"/>
        </w:trPr>
        <w:tc>
          <w:tcPr>
            <w:tcW w:w="1271" w:type="dxa"/>
          </w:tcPr>
          <w:p w14:paraId="2EA54466" w14:textId="22C60225" w:rsidR="007B31C9" w:rsidRPr="007B31C9" w:rsidRDefault="007B31C9" w:rsidP="007B31C9">
            <w:pPr>
              <w:pStyle w:val="Default"/>
              <w:tabs>
                <w:tab w:val="left" w:pos="1134"/>
              </w:tabs>
              <w:jc w:val="center"/>
              <w:rPr>
                <w:rFonts w:ascii="Times New Roman" w:hAnsi="Times New Roman" w:cs="Times New Roman"/>
              </w:rPr>
            </w:pPr>
            <w:r w:rsidRPr="007B31C9">
              <w:rPr>
                <w:rFonts w:ascii="Times New Roman" w:hAnsi="Times New Roman" w:cs="Times New Roman"/>
              </w:rPr>
              <w:t>2018</w:t>
            </w:r>
          </w:p>
        </w:tc>
        <w:tc>
          <w:tcPr>
            <w:tcW w:w="2410" w:type="dxa"/>
          </w:tcPr>
          <w:p w14:paraId="153DCCC8" w14:textId="77777777" w:rsidR="007B31C9" w:rsidRPr="007B31C9" w:rsidRDefault="007B31C9">
            <w:pPr>
              <w:pStyle w:val="Default"/>
              <w:tabs>
                <w:tab w:val="left" w:pos="1134"/>
              </w:tabs>
              <w:jc w:val="both"/>
              <w:rPr>
                <w:rFonts w:ascii="Times New Roman" w:hAnsi="Times New Roman" w:cs="Times New Roman"/>
              </w:rPr>
            </w:pPr>
          </w:p>
        </w:tc>
        <w:tc>
          <w:tcPr>
            <w:tcW w:w="1559" w:type="dxa"/>
          </w:tcPr>
          <w:p w14:paraId="7EE5D252" w14:textId="77777777" w:rsidR="007B31C9" w:rsidRPr="007B31C9" w:rsidRDefault="007B31C9">
            <w:pPr>
              <w:pStyle w:val="Default"/>
              <w:tabs>
                <w:tab w:val="left" w:pos="1134"/>
              </w:tabs>
              <w:jc w:val="both"/>
              <w:rPr>
                <w:rFonts w:ascii="Times New Roman" w:hAnsi="Times New Roman" w:cs="Times New Roman"/>
              </w:rPr>
            </w:pPr>
          </w:p>
        </w:tc>
        <w:tc>
          <w:tcPr>
            <w:tcW w:w="2693" w:type="dxa"/>
          </w:tcPr>
          <w:p w14:paraId="51C2806F" w14:textId="77777777" w:rsidR="007B31C9" w:rsidRPr="007B31C9" w:rsidRDefault="007B31C9">
            <w:pPr>
              <w:pStyle w:val="Default"/>
              <w:tabs>
                <w:tab w:val="left" w:pos="1134"/>
              </w:tabs>
              <w:jc w:val="both"/>
              <w:rPr>
                <w:rFonts w:ascii="Times New Roman" w:hAnsi="Times New Roman" w:cs="Times New Roman"/>
              </w:rPr>
            </w:pPr>
          </w:p>
        </w:tc>
        <w:tc>
          <w:tcPr>
            <w:tcW w:w="1745" w:type="dxa"/>
          </w:tcPr>
          <w:p w14:paraId="2DC60ADA" w14:textId="77777777" w:rsidR="007B31C9" w:rsidRPr="007B31C9" w:rsidRDefault="007B31C9">
            <w:pPr>
              <w:pStyle w:val="Default"/>
              <w:tabs>
                <w:tab w:val="left" w:pos="1134"/>
              </w:tabs>
              <w:jc w:val="both"/>
              <w:rPr>
                <w:rFonts w:ascii="Times New Roman" w:hAnsi="Times New Roman" w:cs="Times New Roman"/>
              </w:rPr>
            </w:pPr>
          </w:p>
        </w:tc>
      </w:tr>
    </w:tbl>
    <w:p w14:paraId="5BA1935F" w14:textId="77777777" w:rsidR="007B31C9" w:rsidRDefault="007B31C9">
      <w:pPr>
        <w:pStyle w:val="Default"/>
        <w:tabs>
          <w:tab w:val="left" w:pos="1134"/>
        </w:tabs>
        <w:ind w:left="720"/>
        <w:jc w:val="both"/>
      </w:pPr>
    </w:p>
    <w:sectPr w:rsidR="007B31C9" w:rsidSect="00594572">
      <w:headerReference w:type="default" r:id="rId11"/>
      <w:pgSz w:w="12240" w:h="15840"/>
      <w:pgMar w:top="1418" w:right="851" w:bottom="1418" w:left="1701" w:header="567" w:footer="0" w:gutter="0"/>
      <w:cols w:space="1296"/>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41356" w14:textId="77777777" w:rsidR="006934F7" w:rsidRDefault="006934F7">
      <w:pPr>
        <w:spacing w:after="0" w:line="240" w:lineRule="auto"/>
      </w:pPr>
      <w:r>
        <w:separator/>
      </w:r>
    </w:p>
  </w:endnote>
  <w:endnote w:type="continuationSeparator" w:id="0">
    <w:p w14:paraId="28DA3111" w14:textId="77777777" w:rsidR="006934F7" w:rsidRDefault="0069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F04BB" w14:textId="77777777" w:rsidR="006934F7" w:rsidRDefault="006934F7">
      <w:pPr>
        <w:spacing w:after="0" w:line="240" w:lineRule="auto"/>
      </w:pPr>
      <w:r>
        <w:separator/>
      </w:r>
    </w:p>
  </w:footnote>
  <w:footnote w:type="continuationSeparator" w:id="0">
    <w:p w14:paraId="0E90A180" w14:textId="77777777" w:rsidR="006934F7" w:rsidRDefault="006934F7">
      <w:pPr>
        <w:spacing w:after="0" w:line="240" w:lineRule="auto"/>
      </w:pPr>
      <w:r>
        <w:continuationSeparator/>
      </w:r>
    </w:p>
  </w:footnote>
  <w:footnote w:id="1">
    <w:p w14:paraId="52C23CCB" w14:textId="2D813134" w:rsidR="007B31C9" w:rsidRPr="00B5517B" w:rsidRDefault="007B31C9" w:rsidP="00B5517B">
      <w:pPr>
        <w:pStyle w:val="FootnoteText"/>
        <w:jc w:val="both"/>
        <w:rPr>
          <w:rFonts w:ascii="Times New Roman" w:hAnsi="Times New Roman" w:cs="Times New Roman"/>
          <w:lang w:val="lt-LT"/>
        </w:rPr>
      </w:pPr>
      <w:r>
        <w:rPr>
          <w:rStyle w:val="FootnoteReference"/>
        </w:rPr>
        <w:footnoteRef/>
      </w:r>
      <w:r>
        <w:t xml:space="preserve"> </w:t>
      </w:r>
      <w:r w:rsidRPr="00B5517B">
        <w:rPr>
          <w:rFonts w:ascii="Times New Roman" w:hAnsi="Times New Roman" w:cs="Times New Roman"/>
          <w:lang w:val="lt-LT"/>
        </w:rPr>
        <w:t>Faktiniai metai skaičiuojami nuo sausio 1 d. iki gruodžio 31d.</w:t>
      </w:r>
    </w:p>
  </w:footnote>
  <w:footnote w:id="2">
    <w:p w14:paraId="2D1E3ECA" w14:textId="5A7A4459" w:rsidR="007B31C9" w:rsidRPr="00B5517B" w:rsidRDefault="007B31C9" w:rsidP="00B5517B">
      <w:pPr>
        <w:pStyle w:val="FootnoteText"/>
        <w:jc w:val="both"/>
        <w:rPr>
          <w:rFonts w:ascii="Times New Roman" w:hAnsi="Times New Roman" w:cs="Times New Roman"/>
          <w:lang w:val="lt-LT"/>
        </w:rPr>
      </w:pPr>
      <w:r w:rsidRPr="00B5517B">
        <w:rPr>
          <w:rStyle w:val="FootnoteReference"/>
          <w:rFonts w:ascii="Times New Roman" w:hAnsi="Times New Roman" w:cs="Times New Roman"/>
          <w:lang w:val="lt-LT"/>
        </w:rPr>
        <w:footnoteRef/>
      </w:r>
      <w:r w:rsidRPr="00B5517B">
        <w:rPr>
          <w:rFonts w:ascii="Times New Roman" w:hAnsi="Times New Roman" w:cs="Times New Roman"/>
          <w:lang w:val="lt-LT"/>
        </w:rPr>
        <w:t xml:space="preserve"> </w:t>
      </w:r>
      <w:r w:rsidRPr="00B5517B">
        <w:rPr>
          <w:rFonts w:ascii="Times New Roman" w:hAnsi="Times New Roman" w:cs="Times New Roman"/>
          <w:lang w:val="lt-LT"/>
        </w:rPr>
        <w:t>Automobilių su Rusijos Federacijos valstybiniais numeriais įvažiavusių į Lietuvos Respublikos teritoriją skaičius per faktinius metus. Duomenys gaunami iš Valstybės sienos apsaugos tarnybos.</w:t>
      </w:r>
    </w:p>
  </w:footnote>
  <w:footnote w:id="3">
    <w:p w14:paraId="64513678" w14:textId="3844353C" w:rsidR="007B31C9" w:rsidRPr="00B5517B" w:rsidRDefault="007B31C9" w:rsidP="00B5517B">
      <w:pPr>
        <w:pStyle w:val="FootnoteText"/>
        <w:jc w:val="both"/>
        <w:rPr>
          <w:rFonts w:ascii="Times New Roman" w:hAnsi="Times New Roman" w:cs="Times New Roman"/>
          <w:lang w:val="lt-LT"/>
        </w:rPr>
      </w:pPr>
      <w:r w:rsidRPr="00B5517B">
        <w:rPr>
          <w:rStyle w:val="FootnoteReference"/>
          <w:rFonts w:ascii="Times New Roman" w:hAnsi="Times New Roman" w:cs="Times New Roman"/>
          <w:lang w:val="lt-LT"/>
        </w:rPr>
        <w:footnoteRef/>
      </w:r>
      <w:r w:rsidRPr="00B5517B">
        <w:rPr>
          <w:rFonts w:ascii="Times New Roman" w:hAnsi="Times New Roman" w:cs="Times New Roman"/>
          <w:lang w:val="lt-LT"/>
        </w:rPr>
        <w:t xml:space="preserve"> </w:t>
      </w:r>
      <w:r w:rsidRPr="00B5517B">
        <w:rPr>
          <w:rFonts w:ascii="Times New Roman" w:hAnsi="Times New Roman" w:cs="Times New Roman"/>
          <w:lang w:val="lt-LT"/>
        </w:rPr>
        <w:t>STS automobilia</w:t>
      </w:r>
      <w:r w:rsidR="00B5517B">
        <w:rPr>
          <w:rFonts w:ascii="Times New Roman" w:hAnsi="Times New Roman" w:cs="Times New Roman"/>
          <w:lang w:val="lt-LT"/>
        </w:rPr>
        <w:t xml:space="preserve">i – </w:t>
      </w:r>
      <w:r w:rsidRPr="00B5517B">
        <w:rPr>
          <w:rFonts w:ascii="Times New Roman" w:hAnsi="Times New Roman" w:cs="Times New Roman"/>
          <w:lang w:val="lt-LT"/>
        </w:rPr>
        <w:t xml:space="preserve">skiriamaisiais ženklais žymėtų policijos automobilių ir specialiaisiais skiriamaisiais ženklais nepažymėtų automobilių, kuriais vykdoma viešosios tvarkos bei eismo kontrolės veikla, įskaitant ir STS kontrolę, metinis 12 mėnesių vidurkis.  </w:t>
      </w:r>
    </w:p>
  </w:footnote>
  <w:footnote w:id="4">
    <w:p w14:paraId="713EE235" w14:textId="74F974A7" w:rsidR="007B31C9" w:rsidRPr="00B5517B" w:rsidRDefault="007B31C9" w:rsidP="00B5517B">
      <w:pPr>
        <w:pStyle w:val="FootnoteText"/>
        <w:jc w:val="both"/>
        <w:rPr>
          <w:rFonts w:ascii="Times New Roman" w:hAnsi="Times New Roman" w:cs="Times New Roman"/>
          <w:lang w:val="lt-LT"/>
        </w:rPr>
      </w:pPr>
      <w:r w:rsidRPr="00B5517B">
        <w:rPr>
          <w:rStyle w:val="FootnoteReference"/>
          <w:rFonts w:ascii="Times New Roman" w:hAnsi="Times New Roman" w:cs="Times New Roman"/>
          <w:lang w:val="lt-LT"/>
        </w:rPr>
        <w:footnoteRef/>
      </w:r>
      <w:r w:rsidRPr="00B5517B">
        <w:rPr>
          <w:rFonts w:ascii="Times New Roman" w:hAnsi="Times New Roman" w:cs="Times New Roman"/>
          <w:lang w:val="lt-LT"/>
        </w:rPr>
        <w:t xml:space="preserve"> </w:t>
      </w:r>
      <w:r w:rsidRPr="00B5517B">
        <w:rPr>
          <w:rFonts w:ascii="Times New Roman" w:hAnsi="Times New Roman" w:cs="Times New Roman"/>
          <w:lang w:val="lt-LT"/>
        </w:rPr>
        <w:t>Skaičiuojamas darbo krūvis, tenkantis vienam policijos STS automobiliui, kontroliuojant Rusijos piliečių tranzitą per Lietuvos teritoriją. Apskaičiuojamas padalinus visą faktinių metų automobilių srautą su Rusijos Federacijos valstybiniais numeriais iš tais pačiais faktiniais metais policijos STS automobilių kiekio.</w:t>
      </w:r>
    </w:p>
  </w:footnote>
  <w:footnote w:id="5">
    <w:p w14:paraId="2A4E8B2D" w14:textId="2AA36A63" w:rsidR="007B31C9" w:rsidRPr="00B5517B" w:rsidRDefault="007B31C9" w:rsidP="00B5517B">
      <w:pPr>
        <w:pStyle w:val="FootnoteText"/>
        <w:jc w:val="both"/>
        <w:rPr>
          <w:rFonts w:ascii="Times New Roman" w:hAnsi="Times New Roman" w:cs="Times New Roman"/>
          <w:lang w:val="lt-LT"/>
        </w:rPr>
      </w:pPr>
      <w:r w:rsidRPr="00B5517B">
        <w:rPr>
          <w:rStyle w:val="FootnoteReference"/>
          <w:rFonts w:ascii="Times New Roman" w:hAnsi="Times New Roman" w:cs="Times New Roman"/>
          <w:lang w:val="lt-LT"/>
        </w:rPr>
        <w:footnoteRef/>
      </w:r>
      <w:r w:rsidRPr="00B5517B">
        <w:rPr>
          <w:rFonts w:ascii="Times New Roman" w:hAnsi="Times New Roman" w:cs="Times New Roman"/>
          <w:lang w:val="lt-LT"/>
        </w:rPr>
        <w:t xml:space="preserve"> </w:t>
      </w:r>
      <w:r w:rsidRPr="00B5517B">
        <w:rPr>
          <w:rFonts w:ascii="Times New Roman" w:hAnsi="Times New Roman" w:cs="Times New Roman"/>
          <w:lang w:val="lt-LT"/>
        </w:rPr>
        <w:t>Atsižvelgiant į visą darbo krūvį, policijos automobilio darbo procentas STS tikslams faktiniais metais skaičiuojamas lyginant su 2014 metų duomenimis. STS veiklos proporcija perskaičiuojama proporcingai pakitusiam policijos STS automobilių kiekiui ir automobilių su Rusijos Federacijos valstybiniais numeriais srautą faktiniais skaičiuojamaisiais metais.</w:t>
      </w:r>
    </w:p>
  </w:footnote>
  <w:footnote w:id="6">
    <w:p w14:paraId="4382B781" w14:textId="43ADFAE1" w:rsidR="007B31C9" w:rsidRPr="007B31C9" w:rsidRDefault="007B31C9" w:rsidP="00B5517B">
      <w:pPr>
        <w:pStyle w:val="FootnoteText"/>
        <w:jc w:val="both"/>
        <w:rPr>
          <w:lang w:val="lt-LT"/>
        </w:rPr>
      </w:pPr>
      <w:r w:rsidRPr="00B5517B">
        <w:rPr>
          <w:rStyle w:val="FootnoteReference"/>
          <w:rFonts w:ascii="Times New Roman" w:hAnsi="Times New Roman" w:cs="Times New Roman"/>
          <w:lang w:val="lt-LT"/>
        </w:rPr>
        <w:footnoteRef/>
      </w:r>
      <w:r w:rsidRPr="00B5517B">
        <w:rPr>
          <w:rFonts w:ascii="Times New Roman" w:hAnsi="Times New Roman" w:cs="Times New Roman"/>
          <w:lang w:val="lt-LT"/>
        </w:rPr>
        <w:t xml:space="preserve"> </w:t>
      </w:r>
      <w:r w:rsidRPr="00B5517B">
        <w:rPr>
          <w:rFonts w:ascii="Times New Roman" w:hAnsi="Times New Roman" w:cs="Times New Roman"/>
          <w:lang w:val="lt-LT"/>
        </w:rPr>
        <w:t>2014 metai laikomi atskaitos tašku, kuriais buvo faktiškai apskaičiuotas darbo procentas STS tikslams, vidutiniškai tenkantis vienam tarnybiniam policijos automobiliui vykdančiam STS kontrolę</w:t>
      </w:r>
      <w:r w:rsidR="00B5517B" w:rsidRPr="00B5517B">
        <w:rPr>
          <w:rFonts w:ascii="Times New Roman" w:hAnsi="Times New Roman" w:cs="Times New Roman"/>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02223973"/>
      <w:docPartObj>
        <w:docPartGallery w:val="Page Numbers (Top of Page)"/>
        <w:docPartUnique/>
      </w:docPartObj>
    </w:sdtPr>
    <w:sdtEndPr>
      <w:rPr>
        <w:sz w:val="24"/>
        <w:szCs w:val="24"/>
      </w:rPr>
    </w:sdtEndPr>
    <w:sdtContent>
      <w:p w14:paraId="6E37B1E9" w14:textId="6F6A257C" w:rsidR="00C07A69" w:rsidRPr="00786AA9" w:rsidRDefault="00072BBC">
        <w:pPr>
          <w:pStyle w:val="Header"/>
          <w:jc w:val="center"/>
          <w:rPr>
            <w:rFonts w:ascii="Times New Roman" w:hAnsi="Times New Roman" w:cs="Times New Roman"/>
            <w:sz w:val="24"/>
            <w:szCs w:val="24"/>
          </w:rPr>
        </w:pPr>
        <w:r w:rsidRPr="00786AA9">
          <w:rPr>
            <w:rFonts w:ascii="Times New Roman" w:hAnsi="Times New Roman" w:cs="Times New Roman"/>
            <w:sz w:val="24"/>
            <w:szCs w:val="24"/>
          </w:rPr>
          <w:fldChar w:fldCharType="begin"/>
        </w:r>
        <w:r w:rsidRPr="00786AA9">
          <w:rPr>
            <w:rFonts w:ascii="Times New Roman" w:hAnsi="Times New Roman" w:cs="Times New Roman"/>
            <w:sz w:val="24"/>
            <w:szCs w:val="24"/>
          </w:rPr>
          <w:instrText>PAGE</w:instrText>
        </w:r>
        <w:r w:rsidRPr="00786AA9">
          <w:rPr>
            <w:rFonts w:ascii="Times New Roman" w:hAnsi="Times New Roman" w:cs="Times New Roman"/>
            <w:sz w:val="24"/>
            <w:szCs w:val="24"/>
          </w:rPr>
          <w:fldChar w:fldCharType="separate"/>
        </w:r>
        <w:r w:rsidR="006E61D4">
          <w:rPr>
            <w:rFonts w:ascii="Times New Roman" w:hAnsi="Times New Roman" w:cs="Times New Roman"/>
            <w:noProof/>
            <w:sz w:val="24"/>
            <w:szCs w:val="24"/>
          </w:rPr>
          <w:t>7</w:t>
        </w:r>
        <w:r w:rsidRPr="00786AA9">
          <w:rPr>
            <w:rFonts w:ascii="Times New Roman" w:hAnsi="Times New Roman" w:cs="Times New Roman"/>
            <w:sz w:val="24"/>
            <w:szCs w:val="24"/>
          </w:rPr>
          <w:fldChar w:fldCharType="end"/>
        </w:r>
      </w:p>
    </w:sdtContent>
  </w:sdt>
  <w:p w14:paraId="69B12291" w14:textId="77777777" w:rsidR="00C07A69" w:rsidRDefault="00C07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62B7"/>
    <w:multiLevelType w:val="multilevel"/>
    <w:tmpl w:val="90F8E3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7C3BF9"/>
    <w:multiLevelType w:val="multilevel"/>
    <w:tmpl w:val="0427001F"/>
    <w:lvl w:ilvl="0">
      <w:start w:val="1"/>
      <w:numFmt w:val="decimal"/>
      <w:lvlText w:val="%1."/>
      <w:lvlJc w:val="left"/>
      <w:pPr>
        <w:ind w:left="135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EC5B27"/>
    <w:multiLevelType w:val="hybridMultilevel"/>
    <w:tmpl w:val="5D54F0F2"/>
    <w:lvl w:ilvl="0" w:tplc="A8B46B8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E3B0F"/>
    <w:multiLevelType w:val="hybridMultilevel"/>
    <w:tmpl w:val="F94A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69"/>
    <w:rsid w:val="00022B9E"/>
    <w:rsid w:val="00043206"/>
    <w:rsid w:val="0005458F"/>
    <w:rsid w:val="00072BBC"/>
    <w:rsid w:val="000B6E56"/>
    <w:rsid w:val="000F13CE"/>
    <w:rsid w:val="001069C0"/>
    <w:rsid w:val="001274E2"/>
    <w:rsid w:val="001514C9"/>
    <w:rsid w:val="00164858"/>
    <w:rsid w:val="00183ECB"/>
    <w:rsid w:val="00194CE4"/>
    <w:rsid w:val="001A16E2"/>
    <w:rsid w:val="001C3EA9"/>
    <w:rsid w:val="001C5055"/>
    <w:rsid w:val="001E2DF9"/>
    <w:rsid w:val="00202F6B"/>
    <w:rsid w:val="00203B29"/>
    <w:rsid w:val="00213E3B"/>
    <w:rsid w:val="0022338E"/>
    <w:rsid w:val="00226DFA"/>
    <w:rsid w:val="002722AF"/>
    <w:rsid w:val="00281687"/>
    <w:rsid w:val="002A3F03"/>
    <w:rsid w:val="002C6CBD"/>
    <w:rsid w:val="00356D17"/>
    <w:rsid w:val="00391705"/>
    <w:rsid w:val="003A0726"/>
    <w:rsid w:val="003B33EC"/>
    <w:rsid w:val="003C6B3F"/>
    <w:rsid w:val="003C7A76"/>
    <w:rsid w:val="003D63D8"/>
    <w:rsid w:val="003F2270"/>
    <w:rsid w:val="003F3E74"/>
    <w:rsid w:val="004218CA"/>
    <w:rsid w:val="00445CD7"/>
    <w:rsid w:val="00464019"/>
    <w:rsid w:val="00484FEF"/>
    <w:rsid w:val="004B2EEB"/>
    <w:rsid w:val="004B6693"/>
    <w:rsid w:val="004D360B"/>
    <w:rsid w:val="004D560D"/>
    <w:rsid w:val="004E739C"/>
    <w:rsid w:val="005468A5"/>
    <w:rsid w:val="00546C79"/>
    <w:rsid w:val="00594572"/>
    <w:rsid w:val="005A6832"/>
    <w:rsid w:val="005C286B"/>
    <w:rsid w:val="005F70F7"/>
    <w:rsid w:val="0060565A"/>
    <w:rsid w:val="00643D5C"/>
    <w:rsid w:val="0064588E"/>
    <w:rsid w:val="006635EB"/>
    <w:rsid w:val="006934F7"/>
    <w:rsid w:val="00697786"/>
    <w:rsid w:val="006C42C3"/>
    <w:rsid w:val="006E61D4"/>
    <w:rsid w:val="006F070E"/>
    <w:rsid w:val="007515AB"/>
    <w:rsid w:val="00784F51"/>
    <w:rsid w:val="00786AA9"/>
    <w:rsid w:val="0079132F"/>
    <w:rsid w:val="007B31C9"/>
    <w:rsid w:val="007D3E71"/>
    <w:rsid w:val="008227A8"/>
    <w:rsid w:val="00836D2E"/>
    <w:rsid w:val="00854C0C"/>
    <w:rsid w:val="008567B4"/>
    <w:rsid w:val="008668E5"/>
    <w:rsid w:val="008707A8"/>
    <w:rsid w:val="008D3F15"/>
    <w:rsid w:val="008E31C7"/>
    <w:rsid w:val="009203C8"/>
    <w:rsid w:val="00930E7B"/>
    <w:rsid w:val="00937952"/>
    <w:rsid w:val="00947F90"/>
    <w:rsid w:val="00960EA9"/>
    <w:rsid w:val="009E7B72"/>
    <w:rsid w:val="00A01A91"/>
    <w:rsid w:val="00A231F1"/>
    <w:rsid w:val="00A55A9E"/>
    <w:rsid w:val="00A739C0"/>
    <w:rsid w:val="00A73C90"/>
    <w:rsid w:val="00A80D75"/>
    <w:rsid w:val="00A9303C"/>
    <w:rsid w:val="00AC3111"/>
    <w:rsid w:val="00AD27DA"/>
    <w:rsid w:val="00AF55B1"/>
    <w:rsid w:val="00AF6EF4"/>
    <w:rsid w:val="00B5517B"/>
    <w:rsid w:val="00B765A3"/>
    <w:rsid w:val="00BA4099"/>
    <w:rsid w:val="00BD1464"/>
    <w:rsid w:val="00BE3CC3"/>
    <w:rsid w:val="00BE618C"/>
    <w:rsid w:val="00C07A69"/>
    <w:rsid w:val="00C12313"/>
    <w:rsid w:val="00C37C2D"/>
    <w:rsid w:val="00C554F5"/>
    <w:rsid w:val="00C64870"/>
    <w:rsid w:val="00C80829"/>
    <w:rsid w:val="00CB6BD1"/>
    <w:rsid w:val="00CE49A7"/>
    <w:rsid w:val="00CE4B8A"/>
    <w:rsid w:val="00CF2754"/>
    <w:rsid w:val="00D11B89"/>
    <w:rsid w:val="00D50AEA"/>
    <w:rsid w:val="00D94A96"/>
    <w:rsid w:val="00DD1130"/>
    <w:rsid w:val="00DD38C0"/>
    <w:rsid w:val="00DD50CE"/>
    <w:rsid w:val="00DE3E5F"/>
    <w:rsid w:val="00E41088"/>
    <w:rsid w:val="00E67FFC"/>
    <w:rsid w:val="00E972EE"/>
    <w:rsid w:val="00ED22B4"/>
    <w:rsid w:val="00EF4924"/>
    <w:rsid w:val="00F13607"/>
    <w:rsid w:val="00F3165C"/>
    <w:rsid w:val="00F3247E"/>
    <w:rsid w:val="00F51CCC"/>
    <w:rsid w:val="00F76A2C"/>
    <w:rsid w:val="00FA64DA"/>
    <w:rsid w:val="00FC1782"/>
    <w:rsid w:val="00FD500C"/>
    <w:rsid w:val="00FE62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9945"/>
  <w15:docId w15:val="{882FE2D1-24CB-47A5-81FC-76C00FB9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C2A10"/>
    <w:rPr>
      <w:sz w:val="16"/>
      <w:szCs w:val="16"/>
    </w:rPr>
  </w:style>
  <w:style w:type="character" w:customStyle="1" w:styleId="CommentTextChar">
    <w:name w:val="Comment Text Char"/>
    <w:basedOn w:val="DefaultParagraphFont"/>
    <w:link w:val="CommentText"/>
    <w:uiPriority w:val="99"/>
    <w:qFormat/>
    <w:rsid w:val="00CC2A10"/>
    <w:rPr>
      <w:rFonts w:ascii="Calibri" w:eastAsia="Calibri" w:hAnsi="Calibri" w:cs="Calibri"/>
      <w:sz w:val="20"/>
      <w:szCs w:val="20"/>
      <w:lang w:val="lt-LT"/>
    </w:rPr>
  </w:style>
  <w:style w:type="character" w:customStyle="1" w:styleId="BalloonTextChar">
    <w:name w:val="Balloon Text Char"/>
    <w:basedOn w:val="DefaultParagraphFont"/>
    <w:link w:val="BalloonText"/>
    <w:uiPriority w:val="99"/>
    <w:semiHidden/>
    <w:qFormat/>
    <w:rsid w:val="00CC2A10"/>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2A5E0B"/>
    <w:rPr>
      <w:rFonts w:ascii="Calibri" w:eastAsia="Calibri" w:hAnsi="Calibri" w:cs="Calibri"/>
      <w:b/>
      <w:bCs/>
      <w:sz w:val="20"/>
      <w:szCs w:val="20"/>
      <w:lang w:val="lt-LT"/>
    </w:rPr>
  </w:style>
  <w:style w:type="character" w:customStyle="1" w:styleId="HeaderChar">
    <w:name w:val="Header Char"/>
    <w:basedOn w:val="DefaultParagraphFont"/>
    <w:link w:val="Header"/>
    <w:uiPriority w:val="99"/>
    <w:qFormat/>
    <w:rsid w:val="00D27147"/>
  </w:style>
  <w:style w:type="character" w:customStyle="1" w:styleId="FooterChar">
    <w:name w:val="Footer Char"/>
    <w:basedOn w:val="DefaultParagraphFont"/>
    <w:link w:val="Footer"/>
    <w:uiPriority w:val="99"/>
    <w:qFormat/>
    <w:rsid w:val="00D27147"/>
  </w:style>
  <w:style w:type="character" w:styleId="PlaceholderText">
    <w:name w:val="Placeholder Text"/>
    <w:basedOn w:val="DefaultParagraphFont"/>
    <w:uiPriority w:val="99"/>
    <w:semiHidden/>
    <w:qFormat/>
    <w:rsid w:val="007E046D"/>
    <w:rPr>
      <w:color w:val="808080"/>
    </w:rPr>
  </w:style>
  <w:style w:type="character" w:customStyle="1" w:styleId="ListLabel1">
    <w:name w:val="ListLabel 1"/>
    <w:qFormat/>
    <w:rPr>
      <w:rFonts w:eastAsia="Calibri" w:cs="Times New Roman"/>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eastAsia="Calibri" w:cs="Calibr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99"/>
    <w:qFormat/>
    <w:rsid w:val="00245667"/>
    <w:pPr>
      <w:spacing w:after="200" w:line="276" w:lineRule="auto"/>
      <w:ind w:left="720"/>
    </w:pPr>
    <w:rPr>
      <w:rFonts w:ascii="Calibri" w:eastAsia="Calibri" w:hAnsi="Calibri" w:cs="Calibri"/>
      <w:lang w:val="lt-LT"/>
    </w:rPr>
  </w:style>
  <w:style w:type="paragraph" w:customStyle="1" w:styleId="Default">
    <w:name w:val="Default"/>
    <w:qFormat/>
    <w:rsid w:val="00CC2A10"/>
    <w:rPr>
      <w:rFonts w:ascii="Calibri" w:eastAsia="Calibri" w:hAnsi="Calibri" w:cs="Calibri"/>
      <w:color w:val="000000"/>
      <w:sz w:val="24"/>
      <w:szCs w:val="24"/>
      <w:lang w:val="lt-LT"/>
    </w:rPr>
  </w:style>
  <w:style w:type="paragraph" w:styleId="CommentText">
    <w:name w:val="annotation text"/>
    <w:basedOn w:val="Normal"/>
    <w:link w:val="CommentTextChar"/>
    <w:uiPriority w:val="99"/>
    <w:unhideWhenUsed/>
    <w:qFormat/>
    <w:rsid w:val="00CC2A10"/>
    <w:pPr>
      <w:spacing w:after="200" w:line="240" w:lineRule="auto"/>
    </w:pPr>
    <w:rPr>
      <w:rFonts w:ascii="Calibri" w:eastAsia="Calibri" w:hAnsi="Calibri" w:cs="Calibri"/>
      <w:sz w:val="20"/>
      <w:szCs w:val="20"/>
      <w:lang w:val="lt-LT"/>
    </w:rPr>
  </w:style>
  <w:style w:type="paragraph" w:styleId="BalloonText">
    <w:name w:val="Balloon Text"/>
    <w:basedOn w:val="Normal"/>
    <w:link w:val="BalloonTextChar"/>
    <w:uiPriority w:val="99"/>
    <w:semiHidden/>
    <w:unhideWhenUsed/>
    <w:qFormat/>
    <w:rsid w:val="00CC2A10"/>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2A5E0B"/>
    <w:pPr>
      <w:spacing w:after="160"/>
    </w:pPr>
    <w:rPr>
      <w:rFonts w:asciiTheme="minorHAnsi" w:eastAsiaTheme="minorHAnsi" w:hAnsiTheme="minorHAnsi" w:cstheme="minorBidi"/>
      <w:b/>
      <w:bCs/>
      <w:lang w:val="en-US"/>
    </w:rPr>
  </w:style>
  <w:style w:type="paragraph" w:customStyle="1" w:styleId="msolistparagraph0">
    <w:name w:val="msolistparagraph"/>
    <w:basedOn w:val="Normal"/>
    <w:uiPriority w:val="99"/>
    <w:qFormat/>
    <w:rsid w:val="00CF033A"/>
    <w:pPr>
      <w:spacing w:beforeAutospacing="1" w:afterAutospacing="1" w:line="240" w:lineRule="auto"/>
    </w:pPr>
    <w:rPr>
      <w:rFonts w:ascii="Calibri" w:eastAsia="Calibri" w:hAnsi="Calibri" w:cs="Calibri"/>
      <w:sz w:val="24"/>
      <w:szCs w:val="24"/>
      <w:lang w:val="lt-LT" w:eastAsia="lt-LT"/>
    </w:rPr>
  </w:style>
  <w:style w:type="paragraph" w:styleId="Header">
    <w:name w:val="header"/>
    <w:basedOn w:val="Normal"/>
    <w:link w:val="HeaderChar"/>
    <w:uiPriority w:val="99"/>
    <w:unhideWhenUsed/>
    <w:rsid w:val="00D27147"/>
    <w:pPr>
      <w:tabs>
        <w:tab w:val="center" w:pos="4986"/>
        <w:tab w:val="right" w:pos="9972"/>
      </w:tabs>
      <w:spacing w:after="0" w:line="240" w:lineRule="auto"/>
    </w:pPr>
  </w:style>
  <w:style w:type="paragraph" w:styleId="Footer">
    <w:name w:val="footer"/>
    <w:basedOn w:val="Normal"/>
    <w:link w:val="FooterChar"/>
    <w:uiPriority w:val="99"/>
    <w:unhideWhenUsed/>
    <w:rsid w:val="00D27147"/>
    <w:pPr>
      <w:tabs>
        <w:tab w:val="center" w:pos="4986"/>
        <w:tab w:val="right" w:pos="9972"/>
      </w:tabs>
      <w:spacing w:after="0" w:line="240" w:lineRule="auto"/>
    </w:pPr>
  </w:style>
  <w:style w:type="paragraph" w:styleId="Revision">
    <w:name w:val="Revision"/>
    <w:uiPriority w:val="99"/>
    <w:semiHidden/>
    <w:qFormat/>
    <w:rsid w:val="0046051D"/>
  </w:style>
  <w:style w:type="table" w:styleId="TableGrid">
    <w:name w:val="Table Grid"/>
    <w:basedOn w:val="TableNormal"/>
    <w:uiPriority w:val="39"/>
    <w:rsid w:val="007B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3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1C9"/>
    <w:rPr>
      <w:sz w:val="20"/>
      <w:szCs w:val="20"/>
    </w:rPr>
  </w:style>
  <w:style w:type="character" w:styleId="FootnoteReference">
    <w:name w:val="footnote reference"/>
    <w:basedOn w:val="DefaultParagraphFont"/>
    <w:uiPriority w:val="99"/>
    <w:semiHidden/>
    <w:unhideWhenUsed/>
    <w:rsid w:val="007B3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5279">
      <w:bodyDiv w:val="1"/>
      <w:marLeft w:val="0"/>
      <w:marRight w:val="0"/>
      <w:marTop w:val="0"/>
      <w:marBottom w:val="0"/>
      <w:divBdr>
        <w:top w:val="none" w:sz="0" w:space="0" w:color="auto"/>
        <w:left w:val="none" w:sz="0" w:space="0" w:color="auto"/>
        <w:bottom w:val="none" w:sz="0" w:space="0" w:color="auto"/>
        <w:right w:val="none" w:sz="0" w:space="0" w:color="auto"/>
      </w:divBdr>
    </w:div>
    <w:div w:id="625038669">
      <w:bodyDiv w:val="1"/>
      <w:marLeft w:val="0"/>
      <w:marRight w:val="0"/>
      <w:marTop w:val="0"/>
      <w:marBottom w:val="0"/>
      <w:divBdr>
        <w:top w:val="none" w:sz="0" w:space="0" w:color="auto"/>
        <w:left w:val="none" w:sz="0" w:space="0" w:color="auto"/>
        <w:bottom w:val="none" w:sz="0" w:space="0" w:color="auto"/>
        <w:right w:val="none" w:sz="0" w:space="0" w:color="auto"/>
      </w:divBdr>
    </w:div>
    <w:div w:id="1286425477">
      <w:bodyDiv w:val="1"/>
      <w:marLeft w:val="0"/>
      <w:marRight w:val="0"/>
      <w:marTop w:val="0"/>
      <w:marBottom w:val="0"/>
      <w:divBdr>
        <w:top w:val="none" w:sz="0" w:space="0" w:color="auto"/>
        <w:left w:val="none" w:sz="0" w:space="0" w:color="auto"/>
        <w:bottom w:val="none" w:sz="0" w:space="0" w:color="auto"/>
        <w:right w:val="none" w:sz="0" w:space="0" w:color="auto"/>
      </w:divBdr>
    </w:div>
    <w:div w:id="1363170750">
      <w:bodyDiv w:val="1"/>
      <w:marLeft w:val="0"/>
      <w:marRight w:val="0"/>
      <w:marTop w:val="0"/>
      <w:marBottom w:val="0"/>
      <w:divBdr>
        <w:top w:val="none" w:sz="0" w:space="0" w:color="auto"/>
        <w:left w:val="none" w:sz="0" w:space="0" w:color="auto"/>
        <w:bottom w:val="none" w:sz="0" w:space="0" w:color="auto"/>
        <w:right w:val="none" w:sz="0" w:space="0" w:color="auto"/>
      </w:divBdr>
    </w:div>
    <w:div w:id="1750079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7bb29fcbbc2e1dcbc2f273b7133c0f65">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4b516ef99547e93ecedb1c08c1997c4e"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e61e2c980644dab56a43eaaba6f0a7 xmlns="b7311018-3388-4ea4-95e4-1123d1923690">Vidaus saugumo fondo skyrius|d80ccaa4-ba7c-4eeb-a3dc-8e800ff7859a;Vadovybė|58a5a61f-fccb-4f74-9a6b-098be634181c;Bendrųjų reikalų skyrius|98e1b560-c021-41d6-9632-b7f5b05ae6e9;Teisės ir kokybės kontrolės tarnyba|49a3c2a9-3e57-4b22-bc07-71553bb31692;Tarptautinių programų valdymo departamentas|dd0cf42c-fc8d-46cb-a167-a8fd90e5386c</eae61e2c980644dab56a43eaaba6f0a7>
    <DmsRegDoc xmlns="4b2e9d09-07c5-42d4-ad0a-92e216c40b99">15377</DmsRegDoc>
    <DmsAddMarkOnPdf xmlns="028236e2-f653-4d19-ab67-4d06a9145e0c">false</DmsAddMarkOnP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19C3-4546-4353-8E14-B9BF4BAF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b7311018-3388-4ea4-95e4-1123d19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5AA36-F950-4B01-9024-FCB0F0041584}">
  <ds:schemaRefs>
    <ds:schemaRef ds:uri="http://schemas.microsoft.com/office/2006/metadata/properties"/>
    <ds:schemaRef ds:uri="http://schemas.microsoft.com/office/infopath/2007/PartnerControls"/>
    <ds:schemaRef ds:uri="b7311018-3388-4ea4-95e4-1123d1923690"/>
    <ds:schemaRef ds:uri="4b2e9d09-07c5-42d4-ad0a-92e216c40b99"/>
    <ds:schemaRef ds:uri="028236e2-f653-4d19-ab67-4d06a9145e0c"/>
  </ds:schemaRefs>
</ds:datastoreItem>
</file>

<file path=customXml/itemProps3.xml><?xml version="1.0" encoding="utf-8"?>
<ds:datastoreItem xmlns:ds="http://schemas.openxmlformats.org/officeDocument/2006/customXml" ds:itemID="{941E7193-867D-45D3-A845-D253D2421198}">
  <ds:schemaRefs>
    <ds:schemaRef ds:uri="http://schemas.microsoft.com/sharepoint/v3/contenttype/forms"/>
  </ds:schemaRefs>
</ds:datastoreItem>
</file>

<file path=customXml/itemProps4.xml><?xml version="1.0" encoding="utf-8"?>
<ds:datastoreItem xmlns:ds="http://schemas.openxmlformats.org/officeDocument/2006/customXml" ds:itemID="{5D760055-7E2F-4441-A874-E9045CC9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2265</Words>
  <Characters>12915</Characters>
  <Application>Microsoft Office Word</Application>
  <DocSecurity>0</DocSecurity>
  <Lines>107</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PD ĮGYVENDINAMŲ 2014-2020 M. VSF PROJEKTŲ SUPAPRASTINTO IŠLAIDŲ APSKAIČIAVIMO IR DEKLARAVIMO METODIKA</vt:lpstr>
      <vt:lpstr>POLICIJOS DEPARTAMENTO PRIE LIETUVOS RESPUBLIKOS VIDAUS REIKALŲ MINISTERIJOS ĮGYVENDINAMŲ 2014-2020 M. VIDAUS SAUGUMO FONDO PROJEKTŲ SUPAPRASTINTO IŠLAIDŲ APSKAIČIAVIMO IR DEKLARAVIMO METODIKA</vt:lpstr>
    </vt:vector>
  </TitlesOfParts>
  <Company>Policijos departamentas</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ĮGYVENDINAMŲ 2014-2020 M. VSF PROJEKTŲ SUPAPRASTINTO IŠLAIDŲ APSKAIČIAVIMO IR DEKLARAVIMO METODIKA</dc:title>
  <dc:creator>Giedrė Žiogelytė</dc:creator>
  <cp:lastModifiedBy>Giedrė Žiogelytė</cp:lastModifiedBy>
  <cp:revision>3</cp:revision>
  <cp:lastPrinted>2017-06-26T07:36:00Z</cp:lastPrinted>
  <dcterms:created xsi:type="dcterms:W3CDTF">2017-06-28T10:49:00Z</dcterms:created>
  <dcterms:modified xsi:type="dcterms:W3CDTF">2017-06-28T11:29:00Z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0x01010031A3634DF9DB4FFBA1EC65766E7376F500647EC12A19191C42BDED928AD6B38003</vt:lpwstr>
  </property>
  <property fmtid="{D5CDD505-2E9C-101B-9397-08002B2CF9AE}" pid="9" name="DmsPermissionsFlags">
    <vt:lpwstr>,SECTRUE,</vt:lpwstr>
  </property>
  <property fmtid="{D5CDD505-2E9C-101B-9397-08002B2CF9AE}" pid="10" name="DmsPermissionsUsers">
    <vt:lpwstr>199;#Giedrė Žiogelytė;#232;#Lidija Kašubienė;#230;#Giedrė Vaičeliūnienė;#283;#Karolis Vaičiulis;#313;#Agnė Braškutė;#284;#Eglė Uleckienė;#273;#Dalia Vinklerė;#247;#Artūras Žarnovskis;#234;#Rasa Suraučienė;#1073741823;#Sistemos abonementas;#620;#Sandra Van</vt:lpwstr>
  </property>
  <property fmtid="{D5CDD505-2E9C-101B-9397-08002B2CF9AE}" pid="11" name="DmsPermissionsDivisions">
    <vt:lpwstr>2829;#Vidaus saugumo fondo skyrius|d80ccaa4-ba7c-4eeb-a3dc-8e800ff7859a;#49;#Vadovybė|58a5a61f-fccb-4f74-9a6b-098be634181c;#47;#Bendrųjų reikalų skyrius|98e1b560-c021-41d6-9632-b7f5b05ae6e9;#641;#Teisės ir kokybės kontrolės tarnyba|49a3c2a9-3e57-4b22-bc07</vt:lpwstr>
  </property>
  <property fmtid="{D5CDD505-2E9C-101B-9397-08002B2CF9AE}" pid="12" name="TaxCatchAll">
    <vt:lpwstr>47;#Bendrųjų reikalų skyrius|98e1b560-c021-41d6-9632-b7f5b05ae6e9;#641;#Teisės ir kokybės kontrolės tarnyba|49a3c2a9-3e57-4b22-bc07-71553bb31692;#56;#Tarptautinių programų valdymo departamentas|dd0cf42c-fc8d-46cb-a167-a8fd90e5386c;#2829;#Vidaus saugumo fo</vt:lpwstr>
  </property>
  <property fmtid="{D5CDD505-2E9C-101B-9397-08002B2CF9AE}" pid="13" name="DmsDocPrepDocSendRegReal">
    <vt:bool>true</vt:bool>
  </property>
  <property fmtid="{D5CDD505-2E9C-101B-9397-08002B2CF9AE}" pid="14" name="DmsSendingDocType">
    <vt:lpwstr/>
  </property>
  <property fmtid="{D5CDD505-2E9C-101B-9397-08002B2CF9AE}" pid="15" name="DmsCPVADocSubtype">
    <vt:lpwstr/>
  </property>
  <property fmtid="{D5CDD505-2E9C-101B-9397-08002B2CF9AE}" pid="16" name="DmsCPVADocProgram">
    <vt:lpwstr/>
  </property>
  <property fmtid="{D5CDD505-2E9C-101B-9397-08002B2CF9AE}" pid="17" name="DmsVisers">
    <vt:lpwstr/>
  </property>
  <property fmtid="{D5CDD505-2E9C-101B-9397-08002B2CF9AE}" pid="18" name="DmsOrganizer">
    <vt:lpwstr/>
  </property>
  <property fmtid="{D5CDD505-2E9C-101B-9397-08002B2CF9AE}" pid="19" name="DmsCPVAOtherResponsiblePersons">
    <vt:lpwstr/>
  </property>
  <property fmtid="{D5CDD505-2E9C-101B-9397-08002B2CF9AE}" pid="20" name="DmsRegState">
    <vt:lpwstr>Naujas</vt:lpwstr>
  </property>
  <property fmtid="{D5CDD505-2E9C-101B-9397-08002B2CF9AE}" pid="21" name="DmsApprovers">
    <vt:lpwstr/>
  </property>
  <property fmtid="{D5CDD505-2E9C-101B-9397-08002B2CF9AE}" pid="22" name="DmsSendingType">
    <vt:lpwstr>8</vt:lpwstr>
  </property>
  <property fmtid="{D5CDD505-2E9C-101B-9397-08002B2CF9AE}" pid="23" name="DmsResponsiblePerson">
    <vt:lpwstr/>
  </property>
  <property fmtid="{D5CDD505-2E9C-101B-9397-08002B2CF9AE}" pid="24" name="DmsCoordinators">
    <vt:lpwstr/>
  </property>
  <property fmtid="{D5CDD505-2E9C-101B-9397-08002B2CF9AE}" pid="25" name="DmsSigners">
    <vt:lpwstr/>
  </property>
  <property fmtid="{D5CDD505-2E9C-101B-9397-08002B2CF9AE}" pid="26" name="DmsRegPerson">
    <vt:lpwstr/>
  </property>
  <property fmtid="{D5CDD505-2E9C-101B-9397-08002B2CF9AE}" pid="27" name="h5d7dfff98a247c1954587ec9b17d55b">
    <vt:lpwstr/>
  </property>
  <property fmtid="{D5CDD505-2E9C-101B-9397-08002B2CF9AE}" pid="28" name="DmsCPVARelatedDivisions">
    <vt:lpwstr/>
  </property>
  <property fmtid="{D5CDD505-2E9C-101B-9397-08002B2CF9AE}" pid="29" name="DmsInternalActType">
    <vt:lpwstr/>
  </property>
  <property fmtid="{D5CDD505-2E9C-101B-9397-08002B2CF9AE}" pid="30" name="DmsCPVARelatedPersons">
    <vt:lpwstr/>
  </property>
  <property fmtid="{D5CDD505-2E9C-101B-9397-08002B2CF9AE}" pid="31" name="e60ee4271ca74d28a1640aed29de29ee">
    <vt:lpwstr/>
  </property>
  <property fmtid="{D5CDD505-2E9C-101B-9397-08002B2CF9AE}" pid="32" name="bef85333021544dbbbb8b847b70284cc">
    <vt:lpwstr/>
  </property>
  <property fmtid="{D5CDD505-2E9C-101B-9397-08002B2CF9AE}" pid="33" name="o3cb2451d6904553a72e202c291dd6d8">
    <vt:lpwstr/>
  </property>
  <property fmtid="{D5CDD505-2E9C-101B-9397-08002B2CF9AE}" pid="34" name="b1f23dead1274c488d632b6cb8d4aba0">
    <vt:lpwstr/>
  </property>
  <property fmtid="{D5CDD505-2E9C-101B-9397-08002B2CF9AE}" pid="35" name="affec700840c476983ca41dbbdd3d7a4">
    <vt:lpwstr/>
  </property>
  <property fmtid="{D5CDD505-2E9C-101B-9397-08002B2CF9AE}" pid="36" name="f13e22c1b9dc46cf9f47842e2669affe">
    <vt:lpwstr/>
  </property>
  <property fmtid="{D5CDD505-2E9C-101B-9397-08002B2CF9AE}" pid="37" name="DmsRegister">
    <vt:lpwstr>54169</vt:lpwstr>
  </property>
  <property fmtid="{D5CDD505-2E9C-101B-9397-08002B2CF9AE}" pid="38" name="DmsCase">
    <vt:lpwstr>52710</vt:lpwstr>
  </property>
</Properties>
</file>