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10E0F681" w:rsidR="00B70AC0" w:rsidRPr="00B70AC0" w:rsidRDefault="00B70AC0" w:rsidP="00B70AC0">
            <w:pPr>
              <w:rPr>
                <w:rFonts w:eastAsia="Times New Roman"/>
                <w:szCs w:val="20"/>
                <w:lang w:val="lt-LT"/>
              </w:rPr>
            </w:pPr>
            <w:r w:rsidRPr="00B70AC0">
              <w:rPr>
                <w:rFonts w:eastAsia="Times New Roman"/>
                <w:szCs w:val="20"/>
                <w:lang w:val="lt-LT"/>
              </w:rPr>
              <w:t>Policijos departament</w:t>
            </w:r>
            <w:r>
              <w:rPr>
                <w:rFonts w:eastAsia="Times New Roman"/>
                <w:szCs w:val="20"/>
                <w:lang w:val="lt-LT"/>
              </w:rPr>
              <w:t>ui</w:t>
            </w:r>
            <w:r w:rsidRPr="00B70AC0">
              <w:rPr>
                <w:rFonts w:eastAsia="Times New Roman"/>
                <w:szCs w:val="20"/>
                <w:lang w:val="lt-LT"/>
              </w:rPr>
              <w:t xml:space="preserve"> prie Lietuvos Respublikos vidaus reikalų ministerijos</w:t>
            </w:r>
          </w:p>
          <w:p w14:paraId="1A4B0554" w14:textId="0CABC4EE" w:rsidR="00B70AC0" w:rsidRDefault="00B70AC0" w:rsidP="00B70AC0">
            <w:pPr>
              <w:rPr>
                <w:rFonts w:eastAsia="Times New Roman"/>
                <w:szCs w:val="20"/>
                <w:lang w:val="lt-LT"/>
              </w:rPr>
            </w:pPr>
            <w:r w:rsidRPr="00B70AC0">
              <w:rPr>
                <w:rFonts w:eastAsia="Times New Roman"/>
                <w:szCs w:val="20"/>
                <w:lang w:val="lt-LT"/>
              </w:rPr>
              <w:t xml:space="preserve">El. p. </w:t>
            </w:r>
            <w:hyperlink r:id="rId11" w:history="1">
              <w:r w:rsidRPr="00A33254">
                <w:rPr>
                  <w:rStyle w:val="Hyperlink"/>
                  <w:rFonts w:eastAsia="Times New Roman"/>
                  <w:szCs w:val="20"/>
                  <w:lang w:val="lt-LT"/>
                </w:rPr>
                <w:t>info@policija.lt</w:t>
              </w:r>
            </w:hyperlink>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77777777" w:rsidR="00BE1C2D" w:rsidRPr="00C95DE0" w:rsidRDefault="00BE1C2D"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1451A27" w:rsidR="006B27F5" w:rsidRPr="00C95DE0" w:rsidRDefault="00B026FD" w:rsidP="00B026FD">
            <w:pPr>
              <w:rPr>
                <w:lang w:val="lt-LT"/>
              </w:rPr>
            </w:pPr>
            <w:r w:rsidRPr="00C95DE0">
              <w:rPr>
                <w:rFonts w:eastAsia="Times New Roman"/>
                <w:szCs w:val="20"/>
                <w:lang w:val="lt-LT"/>
              </w:rPr>
              <w:t xml:space="preserve">El. p. </w:t>
            </w:r>
            <w:hyperlink r:id="rId12" w:history="1">
              <w:r w:rsidRPr="00C95DE0">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6C9CA3FA" w:rsidR="00D74159" w:rsidRPr="00C95DE0" w:rsidRDefault="00D74159" w:rsidP="00066093">
            <w:pPr>
              <w:rPr>
                <w:lang w:val="lt-LT"/>
              </w:rPr>
            </w:pPr>
            <w:r w:rsidRPr="00C95DE0">
              <w:rPr>
                <w:lang w:val="lt-LT"/>
              </w:rPr>
              <w:t>201</w:t>
            </w:r>
            <w:r w:rsidR="00FC484D" w:rsidRPr="00C95DE0">
              <w:rPr>
                <w:lang w:val="lt-LT"/>
              </w:rPr>
              <w:t>8</w:t>
            </w:r>
            <w:r w:rsidRPr="00C95DE0">
              <w:rPr>
                <w:lang w:val="lt-LT"/>
              </w:rPr>
              <w:t>-</w:t>
            </w:r>
            <w:r w:rsidR="00C02FE5">
              <w:rPr>
                <w:lang w:val="lt-LT"/>
              </w:rPr>
              <w:t>09</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64C746FC" w:rsidR="00D74159" w:rsidRPr="00C95DE0" w:rsidRDefault="00FC484D" w:rsidP="00201E68">
            <w:pPr>
              <w:ind w:left="85"/>
              <w:rPr>
                <w:lang w:val="lt-LT"/>
              </w:rPr>
            </w:pPr>
            <w:r w:rsidRPr="00C95DE0">
              <w:rPr>
                <w:lang w:val="lt-LT"/>
              </w:rPr>
              <w:t>2018</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5614A53E" w:rsidR="00D74159" w:rsidRPr="00C95DE0" w:rsidRDefault="00EA7519" w:rsidP="00D74159">
      <w:pPr>
        <w:pStyle w:val="Default"/>
        <w:jc w:val="center"/>
        <w:rPr>
          <w:rFonts w:ascii="Times New Roman" w:eastAsia="Calibri" w:hAnsi="Times New Roman"/>
          <w:bCs/>
          <w:color w:val="auto"/>
          <w:lang w:val="lt-LT"/>
        </w:rPr>
      </w:pPr>
      <w:r w:rsidRPr="00C95DE0">
        <w:rPr>
          <w:rFonts w:ascii="Times New Roman" w:eastAsia="Calibri" w:hAnsi="Times New Roman"/>
          <w:bCs/>
          <w:color w:val="auto"/>
          <w:lang w:val="lt-LT"/>
        </w:rPr>
        <w:t>Kvietimo Nr. VSF201</w:t>
      </w:r>
      <w:r w:rsidR="00C02FE5">
        <w:rPr>
          <w:rFonts w:ascii="Times New Roman" w:eastAsia="Calibri" w:hAnsi="Times New Roman"/>
          <w:bCs/>
          <w:color w:val="auto"/>
          <w:lang w:val="lt-LT"/>
        </w:rPr>
        <w:t>8.33</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2C27B2E5"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9722A8">
        <w:rPr>
          <w:lang w:val="lt-LT"/>
        </w:rPr>
        <w:t>2018</w:t>
      </w:r>
      <w:r w:rsidR="006E34DF" w:rsidRPr="00C95DE0">
        <w:rPr>
          <w:lang w:val="lt-LT"/>
        </w:rPr>
        <w:t xml:space="preserve"> m. </w:t>
      </w:r>
      <w:r w:rsidR="00B433E5">
        <w:rPr>
          <w:lang w:val="lt-LT"/>
        </w:rPr>
        <w:t>b</w:t>
      </w:r>
      <w:r w:rsidR="00C02FE5">
        <w:rPr>
          <w:lang w:val="lt-LT"/>
        </w:rPr>
        <w:t>irželio 18</w:t>
      </w:r>
      <w:r w:rsidR="006E34DF" w:rsidRPr="00C95DE0">
        <w:rPr>
          <w:lang w:val="lt-LT"/>
        </w:rPr>
        <w:t> d. įsakymo Nr.</w:t>
      </w:r>
      <w:r w:rsidR="00B433E5">
        <w:rPr>
          <w:lang w:val="lt-LT"/>
        </w:rPr>
        <w:t xml:space="preserve"> </w:t>
      </w:r>
      <w:r w:rsidR="00C02FE5" w:rsidRPr="00C02FE5">
        <w:rPr>
          <w:lang w:val="lt-LT"/>
        </w:rPr>
        <w:t>1V-432</w:t>
      </w:r>
      <w:r w:rsidR="00C02FE5">
        <w:rPr>
          <w:lang w:val="lt-LT"/>
        </w:rPr>
        <w:t xml:space="preserve"> </w:t>
      </w:r>
      <w:r w:rsidR="006E34DF" w:rsidRPr="00C95DE0">
        <w:rPr>
          <w:rFonts w:eastAsia="Calibri"/>
          <w:lang w:val="lt-LT"/>
        </w:rPr>
        <w:t>redakcija</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46CF8993" w:rsidR="00D74159" w:rsidRPr="00C95DE0" w:rsidRDefault="00D74159" w:rsidP="00D74159">
      <w:pPr>
        <w:widowControl w:val="0"/>
        <w:ind w:firstLine="567"/>
        <w:jc w:val="both"/>
        <w:rPr>
          <w:rFonts w:eastAsia="Calibri"/>
          <w:b/>
          <w:bCs/>
          <w:lang w:val="lt-LT"/>
        </w:rPr>
      </w:pPr>
      <w:r w:rsidRPr="00C95DE0">
        <w:rPr>
          <w:rFonts w:eastAsia="Calibri"/>
          <w:b/>
          <w:bCs/>
          <w:lang w:val="lt-LT"/>
        </w:rPr>
        <w:t>Paraiškų teikimo galutinė data:</w:t>
      </w:r>
      <w:r w:rsidRPr="00C95DE0">
        <w:rPr>
          <w:rFonts w:eastAsia="Calibri"/>
          <w:bCs/>
          <w:lang w:val="lt-LT"/>
        </w:rPr>
        <w:t xml:space="preserve"> </w:t>
      </w:r>
      <w:r w:rsidRPr="00C95DE0">
        <w:rPr>
          <w:rFonts w:eastAsia="Calibri"/>
          <w:b/>
          <w:bCs/>
          <w:lang w:val="lt-LT"/>
        </w:rPr>
        <w:t xml:space="preserve">iki </w:t>
      </w:r>
      <w:r w:rsidRPr="000C596F">
        <w:rPr>
          <w:rFonts w:eastAsia="Calibri"/>
          <w:b/>
          <w:bCs/>
          <w:lang w:val="lt-LT"/>
        </w:rPr>
        <w:t>201</w:t>
      </w:r>
      <w:r w:rsidR="00935FD1" w:rsidRPr="000C596F">
        <w:rPr>
          <w:rFonts w:eastAsia="Calibri"/>
          <w:b/>
          <w:bCs/>
          <w:lang w:val="lt-LT"/>
        </w:rPr>
        <w:t>8</w:t>
      </w:r>
      <w:r w:rsidR="006757BC" w:rsidRPr="000C596F">
        <w:rPr>
          <w:rFonts w:eastAsia="Calibri"/>
          <w:b/>
          <w:bCs/>
          <w:lang w:val="lt-LT"/>
        </w:rPr>
        <w:t xml:space="preserve"> m. </w:t>
      </w:r>
      <w:r w:rsidR="002E1F3C">
        <w:rPr>
          <w:rFonts w:eastAsia="Calibri"/>
          <w:b/>
          <w:bCs/>
          <w:lang w:val="lt-LT"/>
        </w:rPr>
        <w:t>spalio 19</w:t>
      </w:r>
      <w:r w:rsidR="00CE5175" w:rsidRPr="000C596F">
        <w:rPr>
          <w:rFonts w:eastAsia="Calibri"/>
          <w:b/>
          <w:bCs/>
          <w:lang w:val="lt-LT"/>
        </w:rPr>
        <w:t xml:space="preserve"> d. 1</w:t>
      </w:r>
      <w:r w:rsidR="00B433E5">
        <w:rPr>
          <w:rFonts w:eastAsia="Calibri"/>
          <w:b/>
          <w:bCs/>
          <w:lang w:val="lt-LT"/>
        </w:rPr>
        <w:t>5:3</w:t>
      </w:r>
      <w:r w:rsidR="00CE5175" w:rsidRPr="000C596F">
        <w:rPr>
          <w:rFonts w:eastAsia="Calibri"/>
          <w:b/>
          <w:bCs/>
          <w:lang w:val="lt-LT"/>
        </w:rPr>
        <w:t>0</w:t>
      </w:r>
      <w:r w:rsidRPr="000C596F">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29F0C6FC"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Pr="00C61C6B">
        <w:rPr>
          <w:rFonts w:eastAsia="Calibri"/>
          <w:b/>
          <w:bCs/>
          <w:lang w:val="lt-LT"/>
        </w:rPr>
        <w:t>, tel. 8 5 249 9252 arba tel. 8 5 219 1346.</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w:t>
      </w:r>
      <w:r w:rsidR="00822816" w:rsidRPr="00B70AC0">
        <w:rPr>
          <w:rStyle w:val="Hyperlink"/>
          <w:rFonts w:ascii="Times New Roman" w:hAnsi="Times New Roman" w:cs="Times New Roman"/>
          <w:sz w:val="24"/>
          <w:szCs w:val="24"/>
          <w:lang w:val="lt-LT"/>
        </w:rPr>
        <w:lastRenderedPageBreak/>
        <w:t>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5"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6"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7"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8"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79210839" w14:textId="77777777" w:rsidR="00B70AC0" w:rsidRPr="00C61C6B" w:rsidRDefault="00B70AC0" w:rsidP="00B70AC0">
      <w:pPr>
        <w:widowControl w:val="0"/>
        <w:tabs>
          <w:tab w:val="left" w:pos="851"/>
        </w:tabs>
        <w:jc w:val="both"/>
        <w:rPr>
          <w:lang w:val="lt-LT"/>
        </w:rPr>
      </w:pPr>
    </w:p>
    <w:p w14:paraId="03455C0F" w14:textId="77777777" w:rsidR="00B70AC0" w:rsidRDefault="00B70AC0" w:rsidP="00B70AC0">
      <w:pPr>
        <w:widowControl w:val="0"/>
        <w:tabs>
          <w:tab w:val="left" w:pos="851"/>
        </w:tabs>
        <w:jc w:val="both"/>
        <w:rPr>
          <w:lang w:val="lt-LT"/>
        </w:rPr>
      </w:pPr>
    </w:p>
    <w:p w14:paraId="16E96DEA" w14:textId="77777777" w:rsidR="00B70AC0" w:rsidRDefault="00B70AC0" w:rsidP="00B70AC0">
      <w:pPr>
        <w:widowControl w:val="0"/>
        <w:tabs>
          <w:tab w:val="left" w:pos="851"/>
        </w:tabs>
        <w:jc w:val="both"/>
        <w:rPr>
          <w:lang w:val="lt-LT"/>
        </w:rPr>
      </w:pPr>
    </w:p>
    <w:p w14:paraId="142A61E9" w14:textId="77777777" w:rsidR="00B70AC0" w:rsidRDefault="00B70AC0" w:rsidP="00B70AC0">
      <w:pPr>
        <w:widowControl w:val="0"/>
        <w:tabs>
          <w:tab w:val="left" w:pos="851"/>
        </w:tabs>
        <w:jc w:val="both"/>
        <w:rPr>
          <w:lang w:val="lt-LT"/>
        </w:rPr>
      </w:pPr>
    </w:p>
    <w:p w14:paraId="38FADF18" w14:textId="77777777"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099B78B5" w:rsidR="0035067C" w:rsidRPr="00C95DE0" w:rsidRDefault="00F031B9" w:rsidP="00941C83">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lastRenderedPageBreak/>
        <w:t>2017/8-144</w:t>
      </w:r>
      <w:r w:rsidR="000F4B2F" w:rsidRPr="00C95DE0">
        <w:rPr>
          <w:lang w:val="lt-LT"/>
        </w:rPr>
        <w:t xml:space="preserve"> </w:t>
      </w:r>
      <w:r w:rsidR="000F7658" w:rsidRPr="00C95DE0">
        <w:rPr>
          <w:rFonts w:eastAsia="Calibri"/>
          <w:bCs/>
          <w:sz w:val="22"/>
          <w:lang w:val="lt-LT"/>
        </w:rPr>
        <w:t>(</w:t>
      </w:r>
      <w:r w:rsidR="000F7658" w:rsidRPr="00C95DE0">
        <w:rPr>
          <w:lang w:val="lt-LT"/>
        </w:rPr>
        <w:t xml:space="preserve">2018 m. </w:t>
      </w:r>
      <w:r w:rsidR="002E1F3C">
        <w:rPr>
          <w:lang w:val="lt-LT"/>
        </w:rPr>
        <w:t>rugpjūčio 16</w:t>
      </w:r>
      <w:r w:rsidR="000F7658" w:rsidRPr="00C95DE0">
        <w:rPr>
          <w:lang w:val="lt-LT"/>
        </w:rPr>
        <w:t xml:space="preserve"> d. įsakymo Nr. </w:t>
      </w:r>
      <w:r w:rsidR="002E1F3C" w:rsidRPr="002E1F3C">
        <w:rPr>
          <w:lang w:val="lt-LT"/>
        </w:rPr>
        <w:t>2018/8-192</w:t>
      </w:r>
      <w:r w:rsidR="002E1F3C">
        <w:rPr>
          <w:lang w:val="lt-LT"/>
        </w:rPr>
        <w:t xml:space="preserve"> </w:t>
      </w:r>
      <w:r w:rsidR="000F7658" w:rsidRPr="00C95DE0">
        <w:rPr>
          <w:lang w:val="lt-LT"/>
        </w:rPr>
        <w:t xml:space="preserve">redakcija) </w:t>
      </w:r>
      <w:r w:rsidR="00D74159" w:rsidRPr="00C95DE0">
        <w:rPr>
          <w:rFonts w:eastAsia="Calibri"/>
          <w:bCs/>
          <w:sz w:val="22"/>
          <w:lang w:val="lt-LT"/>
        </w:rPr>
        <w:t>(</w:t>
      </w:r>
      <w:hyperlink r:id="rId19" w:history="1">
        <w:r w:rsidR="002E1F3C" w:rsidRPr="002C2558">
          <w:rPr>
            <w:rStyle w:val="Hyperlink"/>
            <w:rFonts w:eastAsia="Calibri"/>
            <w:bCs/>
            <w:sz w:val="22"/>
            <w:lang w:val="lt-LT"/>
          </w:rPr>
          <w:t>https://www.e-tar.lt/portal/lt/legalAct/75bc5cf0476411e7846ef01bfffb9b64/OVhyVbEtOC</w:t>
        </w:r>
      </w:hyperlink>
      <w:r w:rsidR="002E1F3C">
        <w:rPr>
          <w:rFonts w:eastAsia="Calibri"/>
          <w:bCs/>
          <w:sz w:val="22"/>
          <w:lang w:val="lt-LT"/>
        </w:rPr>
        <w:t xml:space="preserve"> </w:t>
      </w:r>
      <w:r w:rsidR="00D74159" w:rsidRPr="00C95DE0">
        <w:rPr>
          <w:rFonts w:eastAsia="Calibri"/>
          <w:bCs/>
          <w:sz w:val="22"/>
          <w:lang w:val="lt-LT"/>
        </w:rPr>
        <w:t>)</w:t>
      </w:r>
      <w:r w:rsidR="00476A7F" w:rsidRPr="00C95DE0">
        <w:rPr>
          <w:rFonts w:eastAsia="Calibri"/>
          <w:bCs/>
          <w:sz w:val="22"/>
          <w:lang w:val="lt-LT"/>
        </w:rPr>
        <w:t>.</w:t>
      </w:r>
    </w:p>
    <w:p w14:paraId="495ED153" w14:textId="55912A07" w:rsidR="00AD7060" w:rsidRPr="00C95DE0" w:rsidRDefault="00AD7060" w:rsidP="00941C83">
      <w:pPr>
        <w:widowControl w:val="0"/>
        <w:ind w:firstLine="567"/>
        <w:jc w:val="both"/>
        <w:rPr>
          <w:rFonts w:eastAsia="Calibri"/>
          <w:bCs/>
          <w:sz w:val="22"/>
          <w:lang w:val="lt-LT"/>
        </w:rPr>
      </w:pPr>
    </w:p>
    <w:p w14:paraId="12BAFFCC" w14:textId="77777777"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77777777" w:rsidR="00547FEB" w:rsidRPr="00C95DE0" w:rsidRDefault="00547FEB" w:rsidP="00A8507F">
      <w:pPr>
        <w:rPr>
          <w:szCs w:val="22"/>
          <w:lang w:val="lt-LT"/>
        </w:rPr>
      </w:pPr>
    </w:p>
    <w:p w14:paraId="0BA31524" w14:textId="77777777" w:rsidR="00326C54" w:rsidRPr="00C95DE0" w:rsidRDefault="00326C54" w:rsidP="009722A8">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0A6EAEC5" w14:textId="77777777" w:rsidR="00326C54" w:rsidRPr="00C95DE0" w:rsidRDefault="00326C54" w:rsidP="009722A8">
      <w:pPr>
        <w:widowControl w:val="0"/>
        <w:jc w:val="both"/>
        <w:rPr>
          <w:rFonts w:eastAsia="Calibri"/>
          <w:bCs/>
          <w:lang w:val="lt-LT"/>
        </w:rPr>
      </w:pPr>
    </w:p>
    <w:p w14:paraId="4D29A919" w14:textId="77777777" w:rsidR="00547FEB" w:rsidRDefault="00547FEB" w:rsidP="009722A8">
      <w:pPr>
        <w:ind w:right="474"/>
        <w:jc w:val="both"/>
        <w:rPr>
          <w:color w:val="000000"/>
          <w:lang w:val="lt-LT"/>
        </w:rPr>
      </w:pPr>
    </w:p>
    <w:p w14:paraId="1C18630E" w14:textId="298E24E2" w:rsidR="00BC2BDF" w:rsidRPr="00C95DE0" w:rsidRDefault="00BC2BDF" w:rsidP="009722A8">
      <w:pPr>
        <w:ind w:right="474"/>
        <w:jc w:val="both"/>
        <w:rPr>
          <w:lang w:val="lt-LT"/>
        </w:rPr>
      </w:pPr>
      <w:r w:rsidRPr="00C95DE0">
        <w:rPr>
          <w:color w:val="000000"/>
          <w:lang w:val="lt-LT"/>
        </w:rPr>
        <w:t>Pareiškėjas – Policijos departamentas prie Lietuvos Respublikos vidaus reikalų ministerijos (toliau – PD)</w:t>
      </w:r>
    </w:p>
    <w:p w14:paraId="6D334465" w14:textId="62D3CF2D" w:rsidR="00BC2BDF" w:rsidRPr="00C95DE0" w:rsidRDefault="00BC2BDF">
      <w:pPr>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C2BDF" w:rsidRPr="00C95DE0" w14:paraId="1355651C" w14:textId="77777777" w:rsidTr="00547FEB">
        <w:trPr>
          <w:trHeight w:val="444"/>
        </w:trPr>
        <w:tc>
          <w:tcPr>
            <w:tcW w:w="847" w:type="dxa"/>
            <w:vMerge w:val="restart"/>
            <w:vAlign w:val="center"/>
          </w:tcPr>
          <w:p w14:paraId="4355BCF0" w14:textId="77777777" w:rsidR="00BC2BDF" w:rsidRPr="00C95DE0" w:rsidRDefault="00BC2BDF" w:rsidP="00547FEB">
            <w:pPr>
              <w:spacing w:before="60" w:after="60"/>
              <w:jc w:val="right"/>
              <w:rPr>
                <w:sz w:val="18"/>
                <w:szCs w:val="18"/>
                <w:lang w:val="lt-LT"/>
              </w:rPr>
            </w:pPr>
            <w:r w:rsidRPr="00C95DE0">
              <w:rPr>
                <w:sz w:val="18"/>
                <w:szCs w:val="18"/>
                <w:lang w:val="lt-LT"/>
              </w:rPr>
              <w:t>Nr.</w:t>
            </w:r>
          </w:p>
        </w:tc>
        <w:tc>
          <w:tcPr>
            <w:tcW w:w="4391" w:type="dxa"/>
            <w:vMerge w:val="restart"/>
          </w:tcPr>
          <w:p w14:paraId="4B3E1156" w14:textId="77777777" w:rsidR="00BC2BDF" w:rsidRPr="00C95DE0" w:rsidRDefault="00BC2BDF" w:rsidP="00277D9F">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272BFB64" w14:textId="77777777" w:rsidR="00BC2BDF" w:rsidRPr="00C95DE0" w:rsidRDefault="00BC2BDF" w:rsidP="00277D9F">
            <w:pPr>
              <w:spacing w:before="60" w:after="60"/>
              <w:jc w:val="center"/>
              <w:rPr>
                <w:sz w:val="18"/>
                <w:szCs w:val="18"/>
                <w:lang w:val="lt-LT"/>
              </w:rPr>
            </w:pPr>
            <w:r w:rsidRPr="00C95DE0">
              <w:rPr>
                <w:sz w:val="18"/>
                <w:szCs w:val="18"/>
                <w:lang w:val="lt-LT"/>
              </w:rPr>
              <w:t>Kvietime teikti paraiškas projek</w:t>
            </w:r>
            <w:bookmarkStart w:id="0" w:name="_GoBack"/>
            <w:bookmarkEnd w:id="0"/>
            <w:r w:rsidRPr="00C95DE0">
              <w:rPr>
                <w:sz w:val="18"/>
                <w:szCs w:val="18"/>
                <w:lang w:val="lt-LT"/>
              </w:rPr>
              <w:t>to finansavimas, eurais</w:t>
            </w:r>
          </w:p>
        </w:tc>
        <w:tc>
          <w:tcPr>
            <w:tcW w:w="1417" w:type="dxa"/>
            <w:vMerge w:val="restart"/>
          </w:tcPr>
          <w:p w14:paraId="5D57FB6D" w14:textId="77777777" w:rsidR="00BC2BDF" w:rsidRPr="00C95DE0" w:rsidRDefault="00BC2BDF" w:rsidP="00277D9F">
            <w:pPr>
              <w:spacing w:before="60" w:after="60"/>
              <w:jc w:val="center"/>
              <w:rPr>
                <w:sz w:val="18"/>
                <w:szCs w:val="18"/>
                <w:lang w:val="lt-LT"/>
              </w:rPr>
            </w:pPr>
            <w:r w:rsidRPr="00C95DE0">
              <w:rPr>
                <w:sz w:val="18"/>
                <w:szCs w:val="18"/>
                <w:lang w:val="lt-LT"/>
              </w:rPr>
              <w:t>Pareiškėjas</w:t>
            </w:r>
          </w:p>
        </w:tc>
      </w:tr>
      <w:tr w:rsidR="00BC2BDF" w:rsidRPr="00C95DE0" w14:paraId="08889AC1" w14:textId="77777777" w:rsidTr="00547FEB">
        <w:trPr>
          <w:trHeight w:val="668"/>
        </w:trPr>
        <w:tc>
          <w:tcPr>
            <w:tcW w:w="847" w:type="dxa"/>
            <w:vMerge/>
            <w:tcBorders>
              <w:bottom w:val="single" w:sz="4" w:space="0" w:color="auto"/>
            </w:tcBorders>
            <w:vAlign w:val="center"/>
          </w:tcPr>
          <w:p w14:paraId="4E1494D9" w14:textId="77777777" w:rsidR="00BC2BDF" w:rsidRPr="00C95DE0" w:rsidRDefault="00BC2BDF" w:rsidP="00547FEB">
            <w:pPr>
              <w:spacing w:before="60" w:after="60"/>
              <w:jc w:val="right"/>
              <w:rPr>
                <w:sz w:val="18"/>
                <w:szCs w:val="18"/>
                <w:lang w:val="lt-LT"/>
              </w:rPr>
            </w:pPr>
          </w:p>
        </w:tc>
        <w:tc>
          <w:tcPr>
            <w:tcW w:w="4391" w:type="dxa"/>
            <w:vMerge/>
            <w:tcBorders>
              <w:bottom w:val="single" w:sz="4" w:space="0" w:color="auto"/>
            </w:tcBorders>
          </w:tcPr>
          <w:p w14:paraId="069F3316" w14:textId="77777777" w:rsidR="00BC2BDF" w:rsidRPr="00C95DE0" w:rsidRDefault="00BC2BDF" w:rsidP="00277D9F">
            <w:pPr>
              <w:spacing w:before="60" w:after="60"/>
              <w:jc w:val="center"/>
              <w:rPr>
                <w:sz w:val="18"/>
                <w:szCs w:val="18"/>
                <w:lang w:val="lt-LT"/>
              </w:rPr>
            </w:pPr>
          </w:p>
        </w:tc>
        <w:tc>
          <w:tcPr>
            <w:tcW w:w="996" w:type="dxa"/>
            <w:tcBorders>
              <w:bottom w:val="single" w:sz="4" w:space="0" w:color="auto"/>
            </w:tcBorders>
          </w:tcPr>
          <w:p w14:paraId="247775D6" w14:textId="77777777" w:rsidR="00BC2BDF" w:rsidRPr="00C95DE0" w:rsidRDefault="00BC2BDF" w:rsidP="00277D9F">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15F057FB" w14:textId="77777777" w:rsidR="00BC2BDF" w:rsidRPr="00C95DE0" w:rsidRDefault="00BC2BDF" w:rsidP="00277D9F">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406BE55E" w14:textId="77777777" w:rsidR="00BC2BDF" w:rsidRPr="00C95DE0" w:rsidRDefault="00BC2BDF" w:rsidP="00277D9F">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064B0EEF" w14:textId="77777777" w:rsidR="00BC2BDF" w:rsidRPr="00C95DE0" w:rsidRDefault="00BC2BDF" w:rsidP="00277D9F">
            <w:pPr>
              <w:spacing w:before="60" w:after="60"/>
              <w:jc w:val="center"/>
              <w:rPr>
                <w:sz w:val="18"/>
                <w:szCs w:val="18"/>
                <w:lang w:val="lt-LT"/>
              </w:rPr>
            </w:pPr>
          </w:p>
        </w:tc>
      </w:tr>
      <w:tr w:rsidR="00BC2BDF" w:rsidRPr="00C95DE0" w14:paraId="79417DA0" w14:textId="77777777" w:rsidTr="00547FEB">
        <w:tc>
          <w:tcPr>
            <w:tcW w:w="847" w:type="dxa"/>
            <w:vAlign w:val="center"/>
          </w:tcPr>
          <w:p w14:paraId="7BA58CDD" w14:textId="77777777" w:rsidR="00BC2BDF" w:rsidRPr="00C95DE0" w:rsidRDefault="00BC2BDF" w:rsidP="00547FEB">
            <w:pPr>
              <w:spacing w:before="60" w:after="60"/>
              <w:jc w:val="right"/>
              <w:rPr>
                <w:sz w:val="18"/>
                <w:szCs w:val="18"/>
                <w:lang w:val="lt-LT"/>
              </w:rPr>
            </w:pPr>
            <w:r w:rsidRPr="00C95DE0">
              <w:rPr>
                <w:sz w:val="18"/>
                <w:szCs w:val="18"/>
                <w:lang w:val="lt-LT"/>
              </w:rPr>
              <w:t>1</w:t>
            </w:r>
          </w:p>
        </w:tc>
        <w:tc>
          <w:tcPr>
            <w:tcW w:w="4391" w:type="dxa"/>
          </w:tcPr>
          <w:p w14:paraId="191A07AD" w14:textId="77777777" w:rsidR="00BC2BDF" w:rsidRPr="00C95DE0" w:rsidRDefault="00BC2BDF" w:rsidP="00277D9F">
            <w:pPr>
              <w:spacing w:before="60" w:after="60"/>
              <w:jc w:val="center"/>
              <w:rPr>
                <w:sz w:val="18"/>
                <w:szCs w:val="18"/>
                <w:lang w:val="lt-LT"/>
              </w:rPr>
            </w:pPr>
            <w:r w:rsidRPr="00C95DE0">
              <w:rPr>
                <w:sz w:val="18"/>
                <w:szCs w:val="18"/>
                <w:lang w:val="lt-LT"/>
              </w:rPr>
              <w:t>2</w:t>
            </w:r>
          </w:p>
        </w:tc>
        <w:tc>
          <w:tcPr>
            <w:tcW w:w="996" w:type="dxa"/>
          </w:tcPr>
          <w:p w14:paraId="16A54866" w14:textId="77777777" w:rsidR="00BC2BDF" w:rsidRPr="00C95DE0" w:rsidRDefault="00BC2BDF" w:rsidP="00277D9F">
            <w:pPr>
              <w:spacing w:before="60" w:after="60"/>
              <w:jc w:val="center"/>
              <w:rPr>
                <w:sz w:val="18"/>
                <w:szCs w:val="18"/>
                <w:lang w:val="lt-LT"/>
              </w:rPr>
            </w:pPr>
            <w:r w:rsidRPr="00C95DE0">
              <w:rPr>
                <w:sz w:val="18"/>
                <w:szCs w:val="18"/>
                <w:lang w:val="lt-LT"/>
              </w:rPr>
              <w:t>5</w:t>
            </w:r>
          </w:p>
        </w:tc>
        <w:tc>
          <w:tcPr>
            <w:tcW w:w="1279" w:type="dxa"/>
            <w:gridSpan w:val="2"/>
          </w:tcPr>
          <w:p w14:paraId="5DD72EA5" w14:textId="77777777" w:rsidR="00BC2BDF" w:rsidRPr="00C95DE0" w:rsidRDefault="00BC2BDF" w:rsidP="00277D9F">
            <w:pPr>
              <w:spacing w:before="60" w:after="60"/>
              <w:jc w:val="center"/>
              <w:rPr>
                <w:sz w:val="18"/>
                <w:szCs w:val="18"/>
                <w:lang w:val="lt-LT"/>
              </w:rPr>
            </w:pPr>
            <w:r w:rsidRPr="00C95DE0">
              <w:rPr>
                <w:sz w:val="18"/>
                <w:szCs w:val="18"/>
                <w:lang w:val="lt-LT"/>
              </w:rPr>
              <w:t>6</w:t>
            </w:r>
          </w:p>
        </w:tc>
        <w:tc>
          <w:tcPr>
            <w:tcW w:w="1418" w:type="dxa"/>
          </w:tcPr>
          <w:p w14:paraId="2325559F" w14:textId="77777777" w:rsidR="00BC2BDF" w:rsidRPr="00C95DE0" w:rsidRDefault="00BC2BDF" w:rsidP="00277D9F">
            <w:pPr>
              <w:spacing w:before="60" w:after="60"/>
              <w:jc w:val="center"/>
              <w:rPr>
                <w:sz w:val="18"/>
                <w:szCs w:val="18"/>
                <w:lang w:val="lt-LT"/>
              </w:rPr>
            </w:pPr>
            <w:r w:rsidRPr="00C95DE0">
              <w:rPr>
                <w:sz w:val="18"/>
                <w:szCs w:val="18"/>
                <w:lang w:val="lt-LT"/>
              </w:rPr>
              <w:t>7</w:t>
            </w:r>
          </w:p>
        </w:tc>
        <w:tc>
          <w:tcPr>
            <w:tcW w:w="1417" w:type="dxa"/>
          </w:tcPr>
          <w:p w14:paraId="6A527AE4" w14:textId="77777777" w:rsidR="00BC2BDF" w:rsidRPr="00C95DE0" w:rsidRDefault="00BC2BDF" w:rsidP="00277D9F">
            <w:pPr>
              <w:spacing w:before="60" w:after="60"/>
              <w:jc w:val="center"/>
              <w:rPr>
                <w:sz w:val="18"/>
                <w:szCs w:val="18"/>
                <w:lang w:val="lt-LT"/>
              </w:rPr>
            </w:pPr>
          </w:p>
        </w:tc>
      </w:tr>
      <w:tr w:rsidR="00BC2BDF" w:rsidRPr="00C95DE0" w14:paraId="0D03D2F3" w14:textId="77777777" w:rsidTr="00547FEB">
        <w:trPr>
          <w:trHeight w:val="397"/>
        </w:trPr>
        <w:tc>
          <w:tcPr>
            <w:tcW w:w="847" w:type="dxa"/>
            <w:shd w:val="clear" w:color="auto" w:fill="D9D9D9" w:themeFill="background1" w:themeFillShade="D9"/>
            <w:vAlign w:val="center"/>
          </w:tcPr>
          <w:p w14:paraId="78626045" w14:textId="77777777" w:rsidR="00BC2BDF" w:rsidRPr="00C95DE0" w:rsidRDefault="00BC2BDF" w:rsidP="00547FEB">
            <w:pPr>
              <w:jc w:val="right"/>
              <w:rPr>
                <w:sz w:val="6"/>
                <w:szCs w:val="6"/>
                <w:lang w:val="lt-LT"/>
              </w:rPr>
            </w:pPr>
          </w:p>
          <w:p w14:paraId="03D285B6" w14:textId="020296FA" w:rsidR="00BC2BDF" w:rsidRPr="00C95DE0" w:rsidRDefault="0028435C" w:rsidP="00547FEB">
            <w:pPr>
              <w:spacing w:before="60" w:after="60"/>
              <w:jc w:val="right"/>
              <w:rPr>
                <w:b/>
                <w:sz w:val="18"/>
                <w:szCs w:val="18"/>
                <w:lang w:val="lt-LT"/>
              </w:rPr>
            </w:pPr>
            <w:r>
              <w:rPr>
                <w:b/>
                <w:sz w:val="18"/>
                <w:szCs w:val="18"/>
                <w:lang w:val="lt-LT" w:eastAsia="lt-LT"/>
              </w:rPr>
              <w:t>6</w:t>
            </w:r>
            <w:r w:rsidR="00BC2BDF" w:rsidRPr="00C95DE0">
              <w:rPr>
                <w:b/>
                <w:sz w:val="18"/>
                <w:szCs w:val="18"/>
                <w:lang w:val="lt-LT" w:eastAsia="lt-LT"/>
              </w:rPr>
              <w:t>.</w:t>
            </w:r>
          </w:p>
        </w:tc>
        <w:tc>
          <w:tcPr>
            <w:tcW w:w="9501" w:type="dxa"/>
            <w:gridSpan w:val="6"/>
            <w:shd w:val="clear" w:color="auto" w:fill="D9D9D9" w:themeFill="background1" w:themeFillShade="D9"/>
            <w:vAlign w:val="center"/>
          </w:tcPr>
          <w:p w14:paraId="36680420" w14:textId="77777777" w:rsidR="00BC2BDF" w:rsidRPr="00C95DE0" w:rsidRDefault="00BC2BDF" w:rsidP="00BC2BDF">
            <w:pPr>
              <w:rPr>
                <w:sz w:val="6"/>
                <w:szCs w:val="6"/>
                <w:lang w:val="lt-LT"/>
              </w:rPr>
            </w:pPr>
          </w:p>
          <w:p w14:paraId="3E603CA8" w14:textId="4E05AB2B" w:rsidR="00BC2BDF" w:rsidRPr="00C95DE0" w:rsidRDefault="00BC2BDF" w:rsidP="0028435C">
            <w:pPr>
              <w:spacing w:before="60" w:after="60"/>
              <w:jc w:val="both"/>
              <w:rPr>
                <w:sz w:val="18"/>
                <w:szCs w:val="18"/>
                <w:lang w:val="lt-LT"/>
              </w:rPr>
            </w:pPr>
            <w:r w:rsidRPr="00C95DE0">
              <w:rPr>
                <w:rFonts w:eastAsia="Calibri"/>
                <w:b/>
                <w:sz w:val="18"/>
                <w:szCs w:val="18"/>
                <w:lang w:val="lt-LT" w:eastAsia="lt-LT"/>
              </w:rPr>
              <w:t xml:space="preserve">KONKRETUS TIKSLAS:  </w:t>
            </w:r>
            <w:r w:rsidR="0028435C">
              <w:rPr>
                <w:b/>
                <w:sz w:val="18"/>
                <w:szCs w:val="18"/>
              </w:rPr>
              <w:t>PAJĖGUMŲ STIPRINIMAS SIEKIANT VEIKSMINGAI VALDYTI SAUGUMUI KYLANČIĄ RIZIKĄ IR KRIZES</w:t>
            </w:r>
          </w:p>
        </w:tc>
      </w:tr>
      <w:tr w:rsidR="00BC2BDF" w:rsidRPr="00C95DE0" w14:paraId="73BD143A" w14:textId="77777777" w:rsidTr="00547FEB">
        <w:tc>
          <w:tcPr>
            <w:tcW w:w="847" w:type="dxa"/>
            <w:vAlign w:val="center"/>
          </w:tcPr>
          <w:p w14:paraId="584C7B90" w14:textId="77777777" w:rsidR="00BC2BDF" w:rsidRPr="00C95DE0" w:rsidRDefault="00BC2BDF" w:rsidP="00547FEB">
            <w:pPr>
              <w:jc w:val="right"/>
              <w:rPr>
                <w:sz w:val="6"/>
                <w:szCs w:val="6"/>
                <w:lang w:val="lt-LT"/>
              </w:rPr>
            </w:pPr>
          </w:p>
          <w:p w14:paraId="7E2B2ADA" w14:textId="52A9AE5C" w:rsidR="00BC2BDF" w:rsidRPr="00C95DE0" w:rsidRDefault="0028435C" w:rsidP="00547FEB">
            <w:pPr>
              <w:spacing w:before="60" w:after="60"/>
              <w:jc w:val="right"/>
              <w:rPr>
                <w:b/>
                <w:sz w:val="18"/>
                <w:szCs w:val="18"/>
                <w:lang w:val="lt-LT"/>
              </w:rPr>
            </w:pPr>
            <w:r>
              <w:rPr>
                <w:b/>
                <w:sz w:val="18"/>
                <w:szCs w:val="18"/>
                <w:lang w:val="lt-LT" w:eastAsia="lt-LT"/>
              </w:rPr>
              <w:t>6.1.</w:t>
            </w:r>
          </w:p>
        </w:tc>
        <w:tc>
          <w:tcPr>
            <w:tcW w:w="9501" w:type="dxa"/>
            <w:gridSpan w:val="6"/>
          </w:tcPr>
          <w:p w14:paraId="5F308F32" w14:textId="77777777" w:rsidR="00BC2BDF" w:rsidRPr="00C95DE0" w:rsidRDefault="00BC2BDF" w:rsidP="00BC2BDF">
            <w:pPr>
              <w:rPr>
                <w:sz w:val="6"/>
                <w:szCs w:val="6"/>
                <w:lang w:val="lt-LT"/>
              </w:rPr>
            </w:pPr>
          </w:p>
          <w:p w14:paraId="044C0734" w14:textId="2F346E26" w:rsidR="00BC2BDF" w:rsidRPr="00C95DE0" w:rsidRDefault="00BC2BDF" w:rsidP="0028435C">
            <w:pPr>
              <w:autoSpaceDE w:val="0"/>
              <w:autoSpaceDN w:val="0"/>
              <w:adjustRightInd w:val="0"/>
              <w:spacing w:before="60" w:after="60"/>
              <w:jc w:val="both"/>
              <w:rPr>
                <w:sz w:val="18"/>
                <w:szCs w:val="18"/>
                <w:lang w:val="lt-LT"/>
              </w:rPr>
            </w:pPr>
            <w:r w:rsidRPr="00C95DE0">
              <w:rPr>
                <w:b/>
                <w:sz w:val="18"/>
                <w:szCs w:val="18"/>
                <w:lang w:val="lt-LT" w:eastAsia="lt-LT"/>
              </w:rPr>
              <w:t xml:space="preserve">NACIONALINIS TIKSLAS: </w:t>
            </w:r>
            <w:r w:rsidR="0028435C" w:rsidRPr="0028435C">
              <w:rPr>
                <w:b/>
                <w:sz w:val="18"/>
                <w:szCs w:val="18"/>
                <w:lang w:val="lt-LT" w:eastAsia="lt-LT"/>
              </w:rPr>
              <w:t>Nusikalstamumo prevencija ir kova su tarpvalstybiniu, sunkiu ir organizuotu nusikalstamumu</w:t>
            </w:r>
          </w:p>
        </w:tc>
      </w:tr>
      <w:tr w:rsidR="00BC2BDF" w:rsidRPr="00C95DE0" w14:paraId="175ADEAB" w14:textId="77777777" w:rsidTr="00547FEB">
        <w:trPr>
          <w:trHeight w:val="505"/>
        </w:trPr>
        <w:tc>
          <w:tcPr>
            <w:tcW w:w="847" w:type="dxa"/>
            <w:vAlign w:val="center"/>
          </w:tcPr>
          <w:p w14:paraId="57AB6E9C" w14:textId="77777777" w:rsidR="00BC2BDF" w:rsidRPr="00C95DE0" w:rsidRDefault="00BC2BDF" w:rsidP="00547FEB">
            <w:pPr>
              <w:jc w:val="right"/>
              <w:rPr>
                <w:sz w:val="6"/>
                <w:szCs w:val="6"/>
                <w:lang w:val="lt-LT"/>
              </w:rPr>
            </w:pPr>
          </w:p>
          <w:p w14:paraId="0E2F47E7" w14:textId="651DA707" w:rsidR="00BC2BDF" w:rsidRPr="00C95DE0" w:rsidRDefault="0028435C" w:rsidP="00547FEB">
            <w:pPr>
              <w:spacing w:before="60" w:after="60"/>
              <w:jc w:val="right"/>
              <w:rPr>
                <w:b/>
                <w:sz w:val="18"/>
                <w:szCs w:val="18"/>
                <w:lang w:val="lt-LT"/>
              </w:rPr>
            </w:pPr>
            <w:r>
              <w:rPr>
                <w:b/>
                <w:sz w:val="18"/>
                <w:szCs w:val="18"/>
                <w:lang w:val="lt-LT" w:eastAsia="lt-LT"/>
              </w:rPr>
              <w:t>6.1.1.</w:t>
            </w:r>
          </w:p>
        </w:tc>
        <w:tc>
          <w:tcPr>
            <w:tcW w:w="9501" w:type="dxa"/>
            <w:gridSpan w:val="6"/>
          </w:tcPr>
          <w:p w14:paraId="2E025AAD" w14:textId="77777777" w:rsidR="00BC2BDF" w:rsidRPr="00C95DE0" w:rsidRDefault="00BC2BDF" w:rsidP="00BC2BDF">
            <w:pPr>
              <w:rPr>
                <w:sz w:val="6"/>
                <w:szCs w:val="6"/>
                <w:lang w:val="lt-LT"/>
              </w:rPr>
            </w:pPr>
          </w:p>
          <w:p w14:paraId="068E2CD7" w14:textId="5949538E" w:rsidR="00BC2BDF" w:rsidRPr="00C95DE0" w:rsidRDefault="0028435C" w:rsidP="00BC2BDF">
            <w:pPr>
              <w:autoSpaceDE w:val="0"/>
              <w:autoSpaceDN w:val="0"/>
              <w:adjustRightInd w:val="0"/>
              <w:spacing w:before="60" w:after="60"/>
              <w:jc w:val="both"/>
              <w:rPr>
                <w:rFonts w:eastAsia="Calibri"/>
                <w:b/>
                <w:sz w:val="18"/>
                <w:szCs w:val="18"/>
                <w:lang w:val="lt-LT"/>
              </w:rPr>
            </w:pPr>
            <w:r w:rsidRPr="0028435C">
              <w:rPr>
                <w:rFonts w:eastAsia="Calibri"/>
                <w:b/>
                <w:sz w:val="18"/>
                <w:szCs w:val="18"/>
                <w:lang w:val="lt-LT" w:eastAsia="lt-LT"/>
              </w:rPr>
              <w:t xml:space="preserve">Prevencinių </w:t>
            </w:r>
            <w:proofErr w:type="spellStart"/>
            <w:r w:rsidRPr="0028435C">
              <w:rPr>
                <w:rFonts w:eastAsia="Calibri"/>
                <w:b/>
                <w:sz w:val="18"/>
                <w:szCs w:val="18"/>
                <w:lang w:val="lt-LT" w:eastAsia="lt-LT"/>
              </w:rPr>
              <w:t>pajėgumų</w:t>
            </w:r>
            <w:proofErr w:type="spellEnd"/>
            <w:r w:rsidRPr="0028435C">
              <w:rPr>
                <w:rFonts w:eastAsia="Calibri"/>
                <w:b/>
                <w:sz w:val="18"/>
                <w:szCs w:val="18"/>
                <w:lang w:val="lt-LT" w:eastAsia="lt-LT"/>
              </w:rPr>
              <w:t xml:space="preserve"> stiprinimas kovojant su pavienių asmenų terorizmu ir smurtiniais išpuoliais nacionaliniu ir ES lygmeniu</w:t>
            </w:r>
          </w:p>
        </w:tc>
      </w:tr>
      <w:tr w:rsidR="00BC2BDF" w:rsidRPr="00C95DE0" w14:paraId="2D23A563" w14:textId="77777777" w:rsidTr="00B433E5">
        <w:trPr>
          <w:trHeight w:val="485"/>
        </w:trPr>
        <w:tc>
          <w:tcPr>
            <w:tcW w:w="847" w:type="dxa"/>
            <w:vAlign w:val="center"/>
          </w:tcPr>
          <w:p w14:paraId="2328AC03" w14:textId="77777777" w:rsidR="00BC2BDF" w:rsidRPr="00C95DE0" w:rsidRDefault="00BC2BDF" w:rsidP="00547FEB">
            <w:pPr>
              <w:jc w:val="right"/>
              <w:rPr>
                <w:sz w:val="6"/>
                <w:szCs w:val="6"/>
                <w:lang w:val="lt-LT"/>
              </w:rPr>
            </w:pPr>
          </w:p>
          <w:p w14:paraId="379D28E0" w14:textId="00AF7F6D" w:rsidR="00BC2BDF" w:rsidRPr="00C95DE0" w:rsidRDefault="0028435C" w:rsidP="00547FEB">
            <w:pPr>
              <w:spacing w:before="60" w:after="60"/>
              <w:jc w:val="right"/>
              <w:rPr>
                <w:sz w:val="18"/>
                <w:szCs w:val="18"/>
                <w:lang w:val="lt-LT"/>
              </w:rPr>
            </w:pPr>
            <w:r>
              <w:rPr>
                <w:sz w:val="18"/>
                <w:szCs w:val="18"/>
                <w:lang w:val="lt-LT" w:eastAsia="lt-LT"/>
              </w:rPr>
              <w:t>6.1.1.4</w:t>
            </w:r>
          </w:p>
        </w:tc>
        <w:tc>
          <w:tcPr>
            <w:tcW w:w="4391" w:type="dxa"/>
          </w:tcPr>
          <w:p w14:paraId="23AFE9EA" w14:textId="77777777" w:rsidR="00BC2BDF" w:rsidRPr="00C95DE0" w:rsidRDefault="00BC2BDF" w:rsidP="00BC2BDF">
            <w:pPr>
              <w:rPr>
                <w:sz w:val="6"/>
                <w:szCs w:val="6"/>
                <w:lang w:val="lt-LT"/>
              </w:rPr>
            </w:pPr>
          </w:p>
          <w:p w14:paraId="6514356E" w14:textId="408D5AA6" w:rsidR="00BC2BDF" w:rsidRPr="00C95DE0" w:rsidRDefault="00BC2BDF" w:rsidP="00AA4DEB">
            <w:pPr>
              <w:jc w:val="both"/>
              <w:rPr>
                <w:rFonts w:eastAsia="Calibri"/>
                <w:i/>
                <w:sz w:val="18"/>
                <w:szCs w:val="18"/>
                <w:lang w:val="lt-LT"/>
              </w:rPr>
            </w:pPr>
            <w:r w:rsidRPr="00C95DE0">
              <w:rPr>
                <w:rFonts w:eastAsia="Calibri"/>
                <w:i/>
                <w:sz w:val="18"/>
                <w:szCs w:val="18"/>
                <w:lang w:val="lt-LT" w:eastAsia="lt-LT"/>
              </w:rPr>
              <w:t xml:space="preserve">Projektas: </w:t>
            </w:r>
            <w:r w:rsidR="0028435C" w:rsidRPr="0028435C">
              <w:rPr>
                <w:rFonts w:eastAsia="Calibri"/>
                <w:sz w:val="18"/>
                <w:szCs w:val="18"/>
                <w:lang w:val="lt-LT" w:eastAsia="lt-LT"/>
              </w:rPr>
              <w:t xml:space="preserve">Projektas: LPAOR „Aras“ snaiperių </w:t>
            </w:r>
            <w:proofErr w:type="spellStart"/>
            <w:r w:rsidR="0028435C" w:rsidRPr="0028435C">
              <w:rPr>
                <w:rFonts w:eastAsia="Calibri"/>
                <w:sz w:val="18"/>
                <w:szCs w:val="18"/>
                <w:lang w:val="lt-LT" w:eastAsia="lt-LT"/>
              </w:rPr>
              <w:t>pajėgumų</w:t>
            </w:r>
            <w:proofErr w:type="spellEnd"/>
            <w:r w:rsidR="0028435C" w:rsidRPr="0028435C">
              <w:rPr>
                <w:rFonts w:eastAsia="Calibri"/>
                <w:sz w:val="18"/>
                <w:szCs w:val="18"/>
                <w:lang w:val="lt-LT" w:eastAsia="lt-LT"/>
              </w:rPr>
              <w:t xml:space="preserve"> vykdant antiteroristines ir įkaitų išlaisvinimo operacijas stiprinimas, II etapas</w:t>
            </w:r>
          </w:p>
        </w:tc>
        <w:tc>
          <w:tcPr>
            <w:tcW w:w="1141" w:type="dxa"/>
            <w:gridSpan w:val="2"/>
            <w:vAlign w:val="center"/>
          </w:tcPr>
          <w:p w14:paraId="13D0262C" w14:textId="77777777" w:rsidR="00BC2BDF" w:rsidRPr="00C95DE0" w:rsidRDefault="00BC2BDF" w:rsidP="00547FEB">
            <w:pPr>
              <w:jc w:val="center"/>
              <w:rPr>
                <w:sz w:val="6"/>
                <w:szCs w:val="6"/>
                <w:lang w:val="lt-LT"/>
              </w:rPr>
            </w:pPr>
          </w:p>
          <w:p w14:paraId="25A0636B" w14:textId="6691D736" w:rsidR="00BC2BDF" w:rsidRPr="00C95DE0" w:rsidRDefault="0028435C" w:rsidP="00AA4DEB">
            <w:pPr>
              <w:spacing w:before="60" w:after="60"/>
              <w:ind w:left="-108" w:right="-108"/>
              <w:jc w:val="center"/>
              <w:rPr>
                <w:sz w:val="18"/>
                <w:szCs w:val="18"/>
                <w:lang w:val="lt-LT"/>
              </w:rPr>
            </w:pPr>
            <w:r w:rsidRPr="0028435C">
              <w:rPr>
                <w:color w:val="000000"/>
                <w:sz w:val="18"/>
                <w:szCs w:val="18"/>
                <w:lang w:val="lt-LT" w:eastAsia="lt-LT"/>
              </w:rPr>
              <w:t>42 750,00</w:t>
            </w:r>
          </w:p>
        </w:tc>
        <w:tc>
          <w:tcPr>
            <w:tcW w:w="1134" w:type="dxa"/>
            <w:vAlign w:val="center"/>
          </w:tcPr>
          <w:p w14:paraId="69D5B8CD" w14:textId="77777777" w:rsidR="00BC2BDF" w:rsidRPr="00C95DE0" w:rsidRDefault="00BC2BDF" w:rsidP="00547FEB">
            <w:pPr>
              <w:jc w:val="center"/>
              <w:rPr>
                <w:sz w:val="6"/>
                <w:szCs w:val="6"/>
                <w:lang w:val="lt-LT"/>
              </w:rPr>
            </w:pPr>
          </w:p>
          <w:p w14:paraId="0C3A4F31" w14:textId="3782FA85" w:rsidR="00BC2BDF" w:rsidRPr="00C95DE0" w:rsidRDefault="0028435C" w:rsidP="00547FEB">
            <w:pPr>
              <w:jc w:val="center"/>
              <w:rPr>
                <w:sz w:val="18"/>
                <w:szCs w:val="18"/>
                <w:lang w:val="lt-LT"/>
              </w:rPr>
            </w:pPr>
            <w:r w:rsidRPr="0028435C">
              <w:rPr>
                <w:color w:val="000000"/>
                <w:sz w:val="18"/>
                <w:szCs w:val="18"/>
                <w:lang w:val="lt-LT" w:eastAsia="lt-LT"/>
              </w:rPr>
              <w:t>14 250,00</w:t>
            </w:r>
          </w:p>
        </w:tc>
        <w:tc>
          <w:tcPr>
            <w:tcW w:w="1418" w:type="dxa"/>
            <w:vAlign w:val="center"/>
          </w:tcPr>
          <w:p w14:paraId="43A01211" w14:textId="77777777" w:rsidR="00BC2BDF" w:rsidRPr="00C95DE0" w:rsidRDefault="00BC2BDF" w:rsidP="00547FEB">
            <w:pPr>
              <w:jc w:val="center"/>
              <w:rPr>
                <w:sz w:val="6"/>
                <w:szCs w:val="6"/>
                <w:lang w:val="lt-LT"/>
              </w:rPr>
            </w:pPr>
          </w:p>
          <w:p w14:paraId="05585639" w14:textId="201CD489" w:rsidR="00BC2BDF" w:rsidRPr="00C95DE0" w:rsidRDefault="0028435C" w:rsidP="00547FEB">
            <w:pPr>
              <w:jc w:val="center"/>
              <w:rPr>
                <w:sz w:val="18"/>
                <w:szCs w:val="18"/>
                <w:lang w:val="lt-LT"/>
              </w:rPr>
            </w:pPr>
            <w:r w:rsidRPr="0028435C">
              <w:rPr>
                <w:color w:val="000000"/>
                <w:sz w:val="18"/>
                <w:szCs w:val="18"/>
                <w:lang w:val="lt-LT" w:eastAsia="lt-LT"/>
              </w:rPr>
              <w:t>57 000,00</w:t>
            </w:r>
          </w:p>
        </w:tc>
        <w:tc>
          <w:tcPr>
            <w:tcW w:w="1417" w:type="dxa"/>
            <w:vAlign w:val="center"/>
          </w:tcPr>
          <w:p w14:paraId="28F07E22" w14:textId="77777777" w:rsidR="00BC2BDF" w:rsidRPr="00C95DE0" w:rsidRDefault="00BC2BDF" w:rsidP="00BC2BDF">
            <w:pPr>
              <w:spacing w:before="60" w:after="60"/>
              <w:jc w:val="center"/>
              <w:rPr>
                <w:sz w:val="18"/>
                <w:szCs w:val="18"/>
                <w:lang w:val="lt-LT"/>
              </w:rPr>
            </w:pPr>
            <w:r w:rsidRPr="00C95DE0">
              <w:rPr>
                <w:sz w:val="18"/>
                <w:szCs w:val="18"/>
                <w:lang w:val="lt-LT" w:eastAsia="lt-LT"/>
              </w:rPr>
              <w:t>PD</w:t>
            </w:r>
          </w:p>
        </w:tc>
      </w:tr>
      <w:tr w:rsidR="00AA4DEB" w:rsidRPr="00C95DE0" w14:paraId="30515069" w14:textId="77777777" w:rsidTr="00B433E5">
        <w:trPr>
          <w:trHeight w:val="485"/>
        </w:trPr>
        <w:tc>
          <w:tcPr>
            <w:tcW w:w="847" w:type="dxa"/>
            <w:vAlign w:val="center"/>
          </w:tcPr>
          <w:p w14:paraId="08631FE5" w14:textId="7C142B24" w:rsidR="00AA4DEB" w:rsidRPr="00AA4DEB" w:rsidRDefault="00AA4DEB" w:rsidP="00547FEB">
            <w:pPr>
              <w:jc w:val="right"/>
              <w:rPr>
                <w:sz w:val="18"/>
                <w:szCs w:val="18"/>
                <w:lang w:val="lt-LT"/>
              </w:rPr>
            </w:pPr>
            <w:r w:rsidRPr="00AA4DEB">
              <w:rPr>
                <w:sz w:val="18"/>
                <w:szCs w:val="18"/>
                <w:lang w:val="lt-LT"/>
              </w:rPr>
              <w:t>6.1.1.6</w:t>
            </w:r>
          </w:p>
        </w:tc>
        <w:tc>
          <w:tcPr>
            <w:tcW w:w="4391" w:type="dxa"/>
          </w:tcPr>
          <w:p w14:paraId="5DCB5467" w14:textId="6D67E177" w:rsidR="00AA4DEB" w:rsidRPr="00AA4DEB" w:rsidRDefault="00AA4DEB" w:rsidP="00AA4DEB">
            <w:pPr>
              <w:jc w:val="both"/>
              <w:rPr>
                <w:sz w:val="18"/>
                <w:szCs w:val="18"/>
                <w:lang w:val="lt-LT"/>
              </w:rPr>
            </w:pPr>
            <w:r w:rsidRPr="00C95DE0">
              <w:rPr>
                <w:rFonts w:eastAsia="Calibri"/>
                <w:i/>
                <w:sz w:val="18"/>
                <w:szCs w:val="18"/>
                <w:lang w:val="lt-LT" w:eastAsia="lt-LT"/>
              </w:rPr>
              <w:t xml:space="preserve">Projektas: </w:t>
            </w:r>
            <w:r w:rsidRPr="00AA4DEB">
              <w:rPr>
                <w:sz w:val="18"/>
                <w:szCs w:val="18"/>
                <w:lang w:val="lt-LT"/>
              </w:rPr>
              <w:t>Specialiųjų apsaugos priemonių, skirtų vykdyti specialiąsias, antiteroristines ir įkaitų išlaisvinimo operacijas, įsigijimas</w:t>
            </w:r>
          </w:p>
        </w:tc>
        <w:tc>
          <w:tcPr>
            <w:tcW w:w="1141" w:type="dxa"/>
            <w:gridSpan w:val="2"/>
            <w:vAlign w:val="center"/>
          </w:tcPr>
          <w:p w14:paraId="23730068" w14:textId="77777777" w:rsidR="00AA4DEB" w:rsidRPr="00AA4DEB" w:rsidRDefault="00AA4DEB" w:rsidP="00AA4DEB">
            <w:pPr>
              <w:jc w:val="center"/>
              <w:rPr>
                <w:sz w:val="18"/>
                <w:szCs w:val="18"/>
                <w:lang w:val="lt-LT"/>
              </w:rPr>
            </w:pPr>
          </w:p>
          <w:p w14:paraId="5C71E6CE" w14:textId="0DE35DCA" w:rsidR="00AA4DEB" w:rsidRPr="00AA4DEB" w:rsidRDefault="00AA4DEB" w:rsidP="00AA4DEB">
            <w:pPr>
              <w:jc w:val="center"/>
              <w:rPr>
                <w:sz w:val="18"/>
                <w:szCs w:val="18"/>
                <w:lang w:val="lt-LT"/>
              </w:rPr>
            </w:pPr>
            <w:r w:rsidRPr="00AA4DEB">
              <w:rPr>
                <w:sz w:val="18"/>
                <w:szCs w:val="18"/>
                <w:lang w:val="lt-LT"/>
              </w:rPr>
              <w:t>201 329,79</w:t>
            </w:r>
          </w:p>
        </w:tc>
        <w:tc>
          <w:tcPr>
            <w:tcW w:w="1134" w:type="dxa"/>
            <w:vAlign w:val="center"/>
          </w:tcPr>
          <w:p w14:paraId="18B0628D" w14:textId="7AC32EAF" w:rsidR="00AA4DEB" w:rsidRPr="00AA4DEB" w:rsidRDefault="00AA4DEB" w:rsidP="00547FEB">
            <w:pPr>
              <w:jc w:val="center"/>
              <w:rPr>
                <w:sz w:val="18"/>
                <w:szCs w:val="18"/>
                <w:lang w:val="lt-LT"/>
              </w:rPr>
            </w:pPr>
            <w:r>
              <w:rPr>
                <w:sz w:val="18"/>
                <w:szCs w:val="18"/>
              </w:rPr>
              <w:t>67 109,93</w:t>
            </w:r>
          </w:p>
        </w:tc>
        <w:tc>
          <w:tcPr>
            <w:tcW w:w="1418" w:type="dxa"/>
            <w:vAlign w:val="center"/>
          </w:tcPr>
          <w:p w14:paraId="41C17C69" w14:textId="142F242B" w:rsidR="00AA4DEB" w:rsidRPr="00AA4DEB" w:rsidRDefault="00AA4DEB" w:rsidP="00547FEB">
            <w:pPr>
              <w:jc w:val="center"/>
              <w:rPr>
                <w:sz w:val="18"/>
                <w:szCs w:val="18"/>
                <w:lang w:val="lt-LT"/>
              </w:rPr>
            </w:pPr>
            <w:r>
              <w:rPr>
                <w:sz w:val="18"/>
                <w:szCs w:val="18"/>
              </w:rPr>
              <w:t>268 439,72</w:t>
            </w:r>
          </w:p>
        </w:tc>
        <w:tc>
          <w:tcPr>
            <w:tcW w:w="1417" w:type="dxa"/>
            <w:vAlign w:val="center"/>
          </w:tcPr>
          <w:p w14:paraId="36CEA309" w14:textId="4C39B8D2" w:rsidR="00AA4DEB" w:rsidRPr="00AA4DEB" w:rsidRDefault="00AA4DEB" w:rsidP="00BC2BDF">
            <w:pPr>
              <w:spacing w:before="60" w:after="60"/>
              <w:jc w:val="center"/>
              <w:rPr>
                <w:sz w:val="18"/>
                <w:szCs w:val="18"/>
                <w:lang w:val="lt-LT" w:eastAsia="lt-LT"/>
              </w:rPr>
            </w:pPr>
            <w:r>
              <w:rPr>
                <w:sz w:val="18"/>
                <w:szCs w:val="18"/>
                <w:lang w:val="lt-LT" w:eastAsia="lt-LT"/>
              </w:rPr>
              <w:t>PD</w:t>
            </w:r>
          </w:p>
        </w:tc>
      </w:tr>
    </w:tbl>
    <w:p w14:paraId="2BB4E745" w14:textId="37D540B6" w:rsidR="00BC2BDF" w:rsidRPr="00C95DE0" w:rsidRDefault="00BC2BDF">
      <w:pPr>
        <w:rPr>
          <w:lang w:val="lt-LT"/>
        </w:rPr>
      </w:pPr>
    </w:p>
    <w:p w14:paraId="1B7D2757" w14:textId="77777777" w:rsidR="00E17B2D" w:rsidRPr="00C95DE0" w:rsidRDefault="00E17B2D" w:rsidP="00A8507F">
      <w:pPr>
        <w:rPr>
          <w:szCs w:val="22"/>
          <w:lang w:val="lt-LT"/>
        </w:rPr>
      </w:pPr>
    </w:p>
    <w:p w14:paraId="2B5AECA8" w14:textId="77777777" w:rsidR="00E17B2D" w:rsidRPr="00C95DE0" w:rsidRDefault="00E17B2D" w:rsidP="00A8507F">
      <w:pPr>
        <w:rPr>
          <w:szCs w:val="22"/>
          <w:lang w:val="lt-LT"/>
        </w:rPr>
      </w:pPr>
    </w:p>
    <w:p w14:paraId="24B0FF9B" w14:textId="28942188"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AA4DEB">
        <w:rPr>
          <w:color w:val="000000"/>
          <w:lang w:val="lt-LT"/>
        </w:rPr>
        <w:t>Rasa Suraučienė</w:t>
      </w:r>
    </w:p>
    <w:p w14:paraId="391A81EC" w14:textId="78AE6AD0" w:rsidR="00D74159" w:rsidRPr="00C95DE0" w:rsidRDefault="00D74159" w:rsidP="001B3B71">
      <w:pPr>
        <w:rPr>
          <w:szCs w:val="22"/>
          <w:lang w:val="lt-LT"/>
        </w:rPr>
      </w:pPr>
    </w:p>
    <w:p w14:paraId="2D3F0C54" w14:textId="0C5CAB51" w:rsidR="00E442F4" w:rsidRPr="00C95DE0" w:rsidRDefault="00E442F4" w:rsidP="001B3B71">
      <w:pPr>
        <w:rPr>
          <w:szCs w:val="22"/>
          <w:lang w:val="lt-LT"/>
        </w:rPr>
      </w:pPr>
    </w:p>
    <w:p w14:paraId="12E15211" w14:textId="77777777" w:rsidR="00E442F4" w:rsidRPr="00C95DE0" w:rsidRDefault="00E442F4" w:rsidP="001B3B71">
      <w:pPr>
        <w:rPr>
          <w:szCs w:val="22"/>
          <w:lang w:val="lt-LT"/>
        </w:rPr>
      </w:pPr>
    </w:p>
    <w:p w14:paraId="2A8BE438" w14:textId="77777777" w:rsidR="00F45009" w:rsidRPr="00C95DE0" w:rsidRDefault="00F45009" w:rsidP="001B3B71">
      <w:pPr>
        <w:rPr>
          <w:szCs w:val="22"/>
          <w:lang w:val="lt-LT"/>
        </w:rPr>
      </w:pPr>
    </w:p>
    <w:p w14:paraId="53BEFFAD" w14:textId="77777777" w:rsidR="00F45009" w:rsidRPr="00C95DE0" w:rsidRDefault="00F45009" w:rsidP="001B3B71">
      <w:pPr>
        <w:rPr>
          <w:szCs w:val="22"/>
          <w:lang w:val="lt-LT"/>
        </w:rPr>
      </w:pPr>
    </w:p>
    <w:p w14:paraId="5A35AE6A" w14:textId="77777777" w:rsidR="00E17B2D" w:rsidRPr="00C95DE0" w:rsidRDefault="00E17B2D" w:rsidP="001B3B71">
      <w:pPr>
        <w:rPr>
          <w:szCs w:val="22"/>
          <w:lang w:val="lt-LT"/>
        </w:rPr>
      </w:pPr>
    </w:p>
    <w:p w14:paraId="5870F9FD" w14:textId="77777777" w:rsidR="00E17B2D" w:rsidRPr="00C95DE0" w:rsidRDefault="00E17B2D" w:rsidP="001B3B71">
      <w:pPr>
        <w:rPr>
          <w:szCs w:val="22"/>
          <w:lang w:val="lt-LT"/>
        </w:rPr>
      </w:pPr>
    </w:p>
    <w:p w14:paraId="013344D1" w14:textId="77777777" w:rsidR="00E17B2D" w:rsidRPr="00C95DE0" w:rsidRDefault="00E17B2D" w:rsidP="001B3B71">
      <w:pPr>
        <w:rPr>
          <w:szCs w:val="22"/>
          <w:lang w:val="lt-LT"/>
        </w:rPr>
      </w:pPr>
    </w:p>
    <w:p w14:paraId="26E3BA9A" w14:textId="20B4C8C5" w:rsidR="00E17B2D" w:rsidRDefault="00E17B2D" w:rsidP="001B3B71">
      <w:pPr>
        <w:rPr>
          <w:szCs w:val="22"/>
          <w:lang w:val="lt-LT"/>
        </w:rPr>
      </w:pPr>
    </w:p>
    <w:p w14:paraId="5286DECB" w14:textId="1B1DF88D" w:rsidR="00B433E5" w:rsidRDefault="00B433E5" w:rsidP="001B3B71">
      <w:pPr>
        <w:rPr>
          <w:szCs w:val="22"/>
          <w:lang w:val="lt-LT"/>
        </w:rPr>
      </w:pPr>
    </w:p>
    <w:p w14:paraId="67D4F4CA" w14:textId="6FBFD2BB" w:rsidR="00B433E5" w:rsidRDefault="00B433E5" w:rsidP="001B3B71">
      <w:pPr>
        <w:rPr>
          <w:szCs w:val="22"/>
          <w:lang w:val="lt-LT"/>
        </w:rPr>
      </w:pPr>
    </w:p>
    <w:p w14:paraId="2D04389C" w14:textId="15FC8913" w:rsidR="00B433E5" w:rsidRDefault="00B433E5" w:rsidP="001B3B71">
      <w:pPr>
        <w:rPr>
          <w:szCs w:val="22"/>
          <w:lang w:val="lt-LT"/>
        </w:rPr>
      </w:pPr>
    </w:p>
    <w:p w14:paraId="14234D8F" w14:textId="29632E82" w:rsidR="00B433E5" w:rsidRDefault="00B433E5" w:rsidP="001B3B71">
      <w:pPr>
        <w:rPr>
          <w:szCs w:val="22"/>
          <w:lang w:val="lt-LT"/>
        </w:rPr>
      </w:pPr>
    </w:p>
    <w:p w14:paraId="5CFBF69C" w14:textId="4930A027" w:rsidR="00B433E5" w:rsidRDefault="00B433E5" w:rsidP="001B3B71">
      <w:pPr>
        <w:rPr>
          <w:szCs w:val="22"/>
          <w:lang w:val="lt-LT"/>
        </w:rPr>
      </w:pPr>
    </w:p>
    <w:p w14:paraId="697CDE11" w14:textId="77777777" w:rsidR="00B433E5" w:rsidRPr="00C95DE0" w:rsidRDefault="00B433E5" w:rsidP="001B3B71">
      <w:pPr>
        <w:rPr>
          <w:szCs w:val="22"/>
          <w:lang w:val="lt-LT"/>
        </w:rPr>
      </w:pPr>
    </w:p>
    <w:p w14:paraId="52D837B6" w14:textId="55D733F9" w:rsidR="00567CB8" w:rsidRDefault="00567CB8" w:rsidP="001B3B71">
      <w:pPr>
        <w:rPr>
          <w:szCs w:val="22"/>
          <w:lang w:val="lt-LT"/>
        </w:rPr>
      </w:pPr>
    </w:p>
    <w:p w14:paraId="2BFAFD27" w14:textId="12EF81CD"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0"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1"/>
      <w:footerReference w:type="first" r:id="rId22"/>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2A75"/>
    <w:rsid w:val="008C3F6B"/>
    <w:rsid w:val="008C4032"/>
    <w:rsid w:val="008C46BD"/>
    <w:rsid w:val="008C64E8"/>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3084"/>
    <w:rsid w:val="00C63F34"/>
    <w:rsid w:val="00C64B1A"/>
    <w:rsid w:val="00C67A4A"/>
    <w:rsid w:val="00C70412"/>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42E1"/>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4C0A"/>
    <w:rsid w:val="00FA50A0"/>
    <w:rsid w:val="00FA5B56"/>
    <w:rsid w:val="00FA6ACD"/>
    <w:rsid w:val="00FA748C"/>
    <w:rsid w:val="00FB0F07"/>
    <w:rsid w:val="00FB172E"/>
    <w:rsid w:val="00FB1F4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mailto:info@cpva.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https://vsfis.cpva.lt" TargetMode="Externa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yperlink" Target="mailto:e.uleckiene@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licija.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sfis.cpva.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ar.lt/portal/lt/legalAct/75bc5cf0476411e7846ef01bfffb9b64/OVhyVbEt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E2666-488C-4F26-9B38-097B0B23EA0C}">
  <ds:schemaRefs>
    <ds:schemaRef ds:uri="http://www.w3.org/XML/1998/namespace"/>
    <ds:schemaRef ds:uri="f5ebda27-b626-448f-a7d1-d1cf5ad133fa"/>
    <ds:schemaRef ds:uri="4b2e9d09-07c5-42d4-ad0a-92e216c40b99"/>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028236e2-f653-4d19-ab67-4d06a9145e0c"/>
    <ds:schemaRef ds:uri="http://schemas.microsoft.com/office/2006/metadata/properties"/>
  </ds:schemaRefs>
</ds:datastoreItem>
</file>

<file path=customXml/itemProps2.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3.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25CEC-8229-4357-9295-1EA6EBD8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5</cp:revision>
  <cp:lastPrinted>2018-02-01T11:18:00Z</cp:lastPrinted>
  <dcterms:created xsi:type="dcterms:W3CDTF">2018-08-30T13:32:00Z</dcterms:created>
  <dcterms:modified xsi:type="dcterms:W3CDTF">2018-08-30T13:48:00Z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