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598"/>
      </w:tblGrid>
      <w:tr w:rsidR="000356BC" w14:paraId="1CC2C9C0" w14:textId="77777777" w:rsidTr="000356BC">
        <w:tc>
          <w:tcPr>
            <w:tcW w:w="3397" w:type="dxa"/>
          </w:tcPr>
          <w:p w14:paraId="7858F4E6" w14:textId="77777777" w:rsidR="000356BC" w:rsidRPr="000356BC" w:rsidRDefault="00AD2551" w:rsidP="00F6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PROGRAMOS RODIKLIS IR 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9598" w:type="dxa"/>
          </w:tcPr>
          <w:p w14:paraId="07B815B1" w14:textId="77777777" w:rsidR="000356BC" w:rsidRDefault="00AD2551" w:rsidP="00AD2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BC">
              <w:rPr>
                <w:rFonts w:ascii="Times New Roman" w:hAnsi="Times New Roman" w:cs="Times New Roman"/>
                <w:b/>
                <w:sz w:val="24"/>
                <w:szCs w:val="24"/>
              </w:rPr>
              <w:t>PROJEKTO, PIRSKIRIAMO KONKREČIAM PROGRAMOS RODIKLIUI PAVADINIMAS IR NUMERIS</w:t>
            </w:r>
          </w:p>
          <w:p w14:paraId="3C24DDC6" w14:textId="77777777" w:rsidR="00AD2551" w:rsidRDefault="00AD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CD0CA" w14:textId="77777777" w:rsidR="00AD2551" w:rsidRPr="000356BC" w:rsidRDefault="00AD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30F" w14:paraId="7BF582CA" w14:textId="77777777" w:rsidTr="00A55A2D">
        <w:trPr>
          <w:trHeight w:val="569"/>
        </w:trPr>
        <w:tc>
          <w:tcPr>
            <w:tcW w:w="12995" w:type="dxa"/>
            <w:gridSpan w:val="2"/>
          </w:tcPr>
          <w:p w14:paraId="77C281AB" w14:textId="77777777" w:rsidR="007B530F" w:rsidRDefault="007B530F">
            <w:r>
              <w:rPr>
                <w:rStyle w:val="Strong"/>
                <w:rFonts w:ascii="Open Sans" w:hAnsi="Open Sans"/>
                <w:color w:val="000000"/>
                <w:sz w:val="21"/>
                <w:szCs w:val="21"/>
              </w:rPr>
              <w:t>1. KONKRETUS TIKSLAS: BENDROS VIZŲ POLITIKOS RĖMIMAS</w:t>
            </w:r>
          </w:p>
        </w:tc>
      </w:tr>
      <w:tr w:rsidR="000356BC" w14:paraId="71B744E9" w14:textId="77777777" w:rsidTr="007B530F">
        <w:trPr>
          <w:trHeight w:val="705"/>
        </w:trPr>
        <w:tc>
          <w:tcPr>
            <w:tcW w:w="3397" w:type="dxa"/>
          </w:tcPr>
          <w:p w14:paraId="14A78163" w14:textId="77777777" w:rsidR="000356BC" w:rsidRPr="00F653DF" w:rsidRDefault="000356BC" w:rsidP="000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 Naudojantis fondo parama vykdyto konsulatų bendradarbiavimo atvejų skaičius</w:t>
            </w:r>
          </w:p>
        </w:tc>
        <w:tc>
          <w:tcPr>
            <w:tcW w:w="9598" w:type="dxa"/>
          </w:tcPr>
          <w:p w14:paraId="791B6C22" w14:textId="5BEABE82" w:rsidR="000356BC" w:rsidRPr="00672943" w:rsidRDefault="00A4635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="0035589D" w:rsidRPr="00672943">
              <w:rPr>
                <w:rFonts w:ascii="Times New Roman" w:hAnsi="Times New Roman" w:cs="Times New Roman"/>
                <w:sz w:val="24"/>
                <w:szCs w:val="24"/>
              </w:rPr>
              <w:t>1 “Konsulinio atsovavi</w:t>
            </w:r>
            <w:r w:rsidR="00A55A2D">
              <w:rPr>
                <w:rFonts w:ascii="Times New Roman" w:hAnsi="Times New Roman" w:cs="Times New Roman"/>
                <w:sz w:val="24"/>
                <w:szCs w:val="24"/>
              </w:rPr>
              <w:t>mo išplėtimas LR generaliniame k</w:t>
            </w:r>
            <w:r w:rsidR="0035589D" w:rsidRPr="00672943">
              <w:rPr>
                <w:rFonts w:ascii="Times New Roman" w:hAnsi="Times New Roman" w:cs="Times New Roman"/>
                <w:sz w:val="24"/>
                <w:szCs w:val="24"/>
              </w:rPr>
              <w:t>onsulate Almatoje, I etapas”</w:t>
            </w:r>
          </w:p>
          <w:p w14:paraId="2C1044E5" w14:textId="15D2B629" w:rsidR="0035589D" w:rsidRPr="00672943" w:rsidRDefault="0035589D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1.3.1.2 “Konsulinio atsovavi</w:t>
            </w:r>
            <w:r w:rsidR="00A55A2D">
              <w:rPr>
                <w:rFonts w:ascii="Times New Roman" w:hAnsi="Times New Roman" w:cs="Times New Roman"/>
                <w:sz w:val="24"/>
                <w:szCs w:val="24"/>
              </w:rPr>
              <w:t>mo išplėtimas LR generaliniame k</w:t>
            </w: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onsulate Almatoje, II etapas”</w:t>
            </w:r>
          </w:p>
          <w:p w14:paraId="072FD871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1.1.2.1. “Vizų tarnybų darbo vietų techninės ir ryšio įrangos atnaujinimas, I etapas”</w:t>
            </w:r>
          </w:p>
          <w:p w14:paraId="518F12F5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  <w:p w14:paraId="78D72BC6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1.1.2.3. “Skirtinės linijos paslaugos įsigijimas”</w:t>
            </w:r>
          </w:p>
        </w:tc>
      </w:tr>
      <w:tr w:rsidR="000356BC" w14:paraId="2393E9B9" w14:textId="77777777" w:rsidTr="000356BC">
        <w:tc>
          <w:tcPr>
            <w:tcW w:w="3397" w:type="dxa"/>
          </w:tcPr>
          <w:p w14:paraId="1EDB93C3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>C2.1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>Naudojantis fondo parama surengtuose su bendra vizų politika susijusiuose mokymuose dalyvavusių darbuotojų skaičius</w:t>
            </w:r>
          </w:p>
        </w:tc>
        <w:tc>
          <w:tcPr>
            <w:tcW w:w="9598" w:type="dxa"/>
          </w:tcPr>
          <w:p w14:paraId="68C04FB8" w14:textId="77777777" w:rsidR="000356BC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1.2.1.1. “Vizų tarnybų darbuotojų mokymas, I etapas”</w:t>
            </w:r>
          </w:p>
          <w:p w14:paraId="34BF224E" w14:textId="77777777" w:rsidR="003721E8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1.2.1.2. “Vizų tarnybų darbuotojų mokymas, II etapas”</w:t>
            </w:r>
          </w:p>
        </w:tc>
      </w:tr>
      <w:tr w:rsidR="000356BC" w14:paraId="6B80D3AF" w14:textId="77777777" w:rsidTr="000356BC">
        <w:tc>
          <w:tcPr>
            <w:tcW w:w="3397" w:type="dxa"/>
          </w:tcPr>
          <w:p w14:paraId="7C7A1A72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C2.2.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Išklausytų kursų skaičius (valandų skaičius)</w:t>
            </w:r>
          </w:p>
        </w:tc>
        <w:tc>
          <w:tcPr>
            <w:tcW w:w="9598" w:type="dxa"/>
          </w:tcPr>
          <w:p w14:paraId="7355891D" w14:textId="77777777" w:rsidR="003721E8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1.2.1.1. “Vizų tarnybų darbuotojų mokymas, I etapas”</w:t>
            </w:r>
          </w:p>
          <w:p w14:paraId="337A078F" w14:textId="77777777" w:rsidR="000356BC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1.2.1.2. “Vizų tarnybų darbuotojų mokymas, II etapas”</w:t>
            </w:r>
          </w:p>
        </w:tc>
      </w:tr>
      <w:tr w:rsidR="000356BC" w14:paraId="7076ABB8" w14:textId="77777777" w:rsidTr="000356BC">
        <w:tc>
          <w:tcPr>
            <w:tcW w:w="3397" w:type="dxa"/>
          </w:tcPr>
          <w:p w14:paraId="4845DF81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C3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Naudojantis fondo parama įsteigtų specializuotų pareigybių trečiosiose šalyse skaičius</w:t>
            </w:r>
          </w:p>
        </w:tc>
        <w:tc>
          <w:tcPr>
            <w:tcW w:w="9598" w:type="dxa"/>
          </w:tcPr>
          <w:p w14:paraId="3B9C2650" w14:textId="77777777" w:rsidR="000356BC" w:rsidRPr="00672943" w:rsidRDefault="003721E8" w:rsidP="000B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 xml:space="preserve">Netaikoma </w:t>
            </w:r>
          </w:p>
        </w:tc>
      </w:tr>
      <w:tr w:rsidR="000356BC" w14:paraId="2F5CD8C2" w14:textId="77777777" w:rsidTr="000356BC">
        <w:tc>
          <w:tcPr>
            <w:tcW w:w="3397" w:type="dxa"/>
          </w:tcPr>
          <w:p w14:paraId="13A697D3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 xml:space="preserve">C4.1 Teikiant fondo paramą sukurtų arba modernizuotų konsulatų skaičius atsižvelgiant į bendrą konsulatų skaičių  </w:t>
            </w:r>
          </w:p>
        </w:tc>
        <w:tc>
          <w:tcPr>
            <w:tcW w:w="9598" w:type="dxa"/>
          </w:tcPr>
          <w:p w14:paraId="791B355E" w14:textId="77777777" w:rsidR="000356BC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1.1.2.1. “Vizų tarnybų darbo vietų techninės ir ryšio įrangos atnaujinimas, I etapas”</w:t>
            </w:r>
          </w:p>
          <w:p w14:paraId="23DB4E70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</w:tc>
      </w:tr>
      <w:tr w:rsidR="000356BC" w14:paraId="2D99BBF1" w14:textId="77777777" w:rsidTr="000356BC">
        <w:tc>
          <w:tcPr>
            <w:tcW w:w="3397" w:type="dxa"/>
          </w:tcPr>
          <w:p w14:paraId="17F45B8D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C4.2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Naudojantis fondo parama sukurtų arba modernizuotų konsulatų procentinė dalis atsižvelgiant į bendrą konsulatų skaičių</w:t>
            </w:r>
          </w:p>
        </w:tc>
        <w:tc>
          <w:tcPr>
            <w:tcW w:w="9598" w:type="dxa"/>
          </w:tcPr>
          <w:p w14:paraId="1468F83B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.1.2.1. “Vizų tarnybų darbo vietų techninės ir ryšio įrangos atnaujinimas, I etapas”</w:t>
            </w:r>
          </w:p>
          <w:p w14:paraId="1A07B844" w14:textId="77777777" w:rsidR="000356BC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  <w:p w14:paraId="3534D176" w14:textId="77777777" w:rsid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 “ Nacionalinės VIS pritaikymas  Vizų kodekso pakeitimams”</w:t>
            </w:r>
          </w:p>
          <w:p w14:paraId="46545DA7" w14:textId="77777777" w:rsidR="00672943" w:rsidRDefault="00672943" w:rsidP="005678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 “Nacionalinės VIS plėtojimas”</w:t>
            </w:r>
          </w:p>
        </w:tc>
      </w:tr>
      <w:tr w:rsidR="00DD02F1" w14:paraId="0F475F0D" w14:textId="77777777" w:rsidTr="00A55A2D">
        <w:tc>
          <w:tcPr>
            <w:tcW w:w="12995" w:type="dxa"/>
            <w:gridSpan w:val="2"/>
          </w:tcPr>
          <w:p w14:paraId="7DCBD215" w14:textId="77777777" w:rsidR="00DD02F1" w:rsidRPr="00DD02F1" w:rsidRDefault="00DD02F1" w:rsidP="00567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F1">
              <w:rPr>
                <w:rFonts w:ascii="Times New Roman" w:hAnsi="Times New Roman" w:cs="Times New Roman"/>
                <w:b/>
                <w:sz w:val="24"/>
                <w:szCs w:val="24"/>
              </w:rPr>
              <w:t>2. KONKRETUS TIKSLAS: SIENOS</w:t>
            </w:r>
          </w:p>
        </w:tc>
      </w:tr>
      <w:tr w:rsidR="000356BC" w14:paraId="6B552C23" w14:textId="77777777" w:rsidTr="000356BC">
        <w:tc>
          <w:tcPr>
            <w:tcW w:w="3397" w:type="dxa"/>
          </w:tcPr>
          <w:p w14:paraId="40162D18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C1.1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Teikiant fondo paramą surengtuose su sienų valdymu susijusiuose mokymuose dalyvavusių darbuotojų skaičius</w:t>
            </w:r>
          </w:p>
        </w:tc>
        <w:tc>
          <w:tcPr>
            <w:tcW w:w="9598" w:type="dxa"/>
          </w:tcPr>
          <w:p w14:paraId="2DCCD47A" w14:textId="77777777" w:rsidR="000356BC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 “Specializuoti  ir aukštesnio lygio sienos apsaugos parigūnų mokymai, I etapas”</w:t>
            </w:r>
          </w:p>
          <w:p w14:paraId="26000F3C" w14:textId="77777777" w:rsidR="00133647" w:rsidRPr="00DD02F1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. “Specializuoti  ir aukštesnio lygio sienos apsaugos parigūnų mokymai,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</w:tc>
      </w:tr>
      <w:tr w:rsidR="000356BC" w14:paraId="646DD57B" w14:textId="77777777" w:rsidTr="000356BC">
        <w:tc>
          <w:tcPr>
            <w:tcW w:w="3397" w:type="dxa"/>
          </w:tcPr>
          <w:p w14:paraId="3D8B3586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C1.2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Teikiant fondo paramą surengtų su sienų valdymu susijusių mokymų skaičius</w:t>
            </w:r>
          </w:p>
        </w:tc>
        <w:tc>
          <w:tcPr>
            <w:tcW w:w="9598" w:type="dxa"/>
          </w:tcPr>
          <w:p w14:paraId="2091246E" w14:textId="77777777" w:rsidR="00133647" w:rsidRPr="00133647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2.3.1.1. “Specializuoti  ir aukštesnio lygio sienos apsaugos parigūnų mokymai, I etapas”</w:t>
            </w:r>
          </w:p>
          <w:p w14:paraId="7B2F6620" w14:textId="77777777" w:rsidR="000356BC" w:rsidRPr="00DD02F1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2.3.1.2. “Specializuoti  ir aukštesnio lygio sienos apsaugos parigūnų mokymai, II etapas”</w:t>
            </w:r>
          </w:p>
        </w:tc>
      </w:tr>
      <w:tr w:rsidR="000356BC" w14:paraId="569FA2F0" w14:textId="77777777" w:rsidTr="000356BC">
        <w:tc>
          <w:tcPr>
            <w:tcW w:w="3397" w:type="dxa"/>
          </w:tcPr>
          <w:p w14:paraId="64A3B343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Naudojantis fondo parama sukurtų ar modernizuotų sienų kontrolės (patikros ir stebėjimas) infrastruktūros objektų ir priemonių skaičius</w:t>
            </w:r>
          </w:p>
        </w:tc>
        <w:tc>
          <w:tcPr>
            <w:tcW w:w="9598" w:type="dxa"/>
          </w:tcPr>
          <w:p w14:paraId="7720FA89" w14:textId="77777777" w:rsidR="000356BC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47385ADF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5802F5A7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  <w:r>
              <w:t xml:space="preserve"> 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“Jūros sienos stebėjimo sistemos atnaujinimas,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  <w:p w14:paraId="0496DCF1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2AA6B1CA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57FF5A9D" w14:textId="2ED4544D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22B2E305" w14:textId="52492553" w:rsidR="00A23BD1" w:rsidRPr="00A23BD1" w:rsidRDefault="00A23BD1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2.1.2.8  </w:t>
            </w:r>
            <w:r w:rsidRPr="00A23BD1">
              <w:rPr>
                <w:rFonts w:ascii="Times New Roman" w:hAnsi="Times New Roman" w:cs="Times New Roman"/>
                <w:sz w:val="24"/>
                <w:szCs w:val="24"/>
              </w:rPr>
              <w:t xml:space="preserve">“Lavoriškių užkardos sienos stebėjimo sistemos atnaujinimas, II etapas” </w:t>
            </w:r>
          </w:p>
          <w:p w14:paraId="212A6653" w14:textId="40249DA2" w:rsidR="00D76E62" w:rsidRDefault="00D76E62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A23BD1" w:rsidRPr="00A23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SMRRT modernizavimas, sąsajų su Latvijos ir Lenkijos ryšio tinklais įdiegimas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72A44136" w14:textId="77777777" w:rsidR="00A43E0C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2.2.3.1. „VRIS pagrindinio ir rezervinio  duomenų centrų komponentų atnaujinimas, I etapas“</w:t>
            </w:r>
          </w:p>
          <w:p w14:paraId="2266A443" w14:textId="77777777" w:rsidR="00A43E0C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„VRIS pagrindinio ir rezervinio  duomenų centrų komponentų atnaujinimas, II etapas“</w:t>
            </w:r>
          </w:p>
          <w:p w14:paraId="56B86AB1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 “Rekomenda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cijų, atsižvelgiant į Šengeno  vertinimo ir stebėjimo mechanizmo taikymo rezultatus, įgyvendinimas“</w:t>
            </w:r>
          </w:p>
          <w:p w14:paraId="7BE1E5A8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2.4.1.1. “Nacionalin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SIS plėtojimas“</w:t>
            </w:r>
          </w:p>
          <w:p w14:paraId="24346AAC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2.4.1.2. </w:t>
            </w:r>
            <w:r w:rsidR="00A074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priemones“</w:t>
            </w:r>
          </w:p>
          <w:p w14:paraId="09ED201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2.4.2.1. “Programinės ir techninės įrangos atnaujinimas”</w:t>
            </w:r>
          </w:p>
          <w:p w14:paraId="68F45FB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2.4.3.1. “Ne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šiojamų termovizorių ir kitų sienos kontrolei reikalingų priemonių įsigijimas“</w:t>
            </w:r>
          </w:p>
          <w:p w14:paraId="02085E53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„Transporto priemonių įsigijimas“</w:t>
            </w:r>
          </w:p>
          <w:p w14:paraId="1617592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2.4.3.3. „Kinologijos pajėgumų stiprinimas, I etapas“</w:t>
            </w:r>
          </w:p>
          <w:p w14:paraId="18C37C65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„Kinologijos pajėgumų stiprinimas, II etapas“</w:t>
            </w:r>
          </w:p>
          <w:p w14:paraId="1E87EFA8" w14:textId="58CCDB73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2.4.3.5. „</w:t>
            </w:r>
            <w:r w:rsidRPr="00A074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Kinologijos pajėgumų stiprinimas,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Pr="00A074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etapas“</w:t>
            </w:r>
          </w:p>
          <w:p w14:paraId="460BA7C3" w14:textId="2B2F650D" w:rsidR="003466E9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2.4.3.6 „</w:t>
            </w:r>
            <w:r w:rsidRPr="00346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Transportuojamos stebėjimo sistemos įrangos įsigijimas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54447D69" w14:textId="2CBE1E54" w:rsidR="003466E9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2.4.3.7 „</w:t>
            </w:r>
            <w:r w:rsidRPr="00346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priemonių įsigijimas,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001C603" w14:textId="4EAB842A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2.4.4.1. „Informcinių technologijų platformos sukūrimas“</w:t>
            </w:r>
          </w:p>
          <w:p w14:paraId="24FA0CA0" w14:textId="7C207B6C" w:rsidR="003466E9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</w:t>
            </w:r>
            <w:r w:rsidRPr="00346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Atvykimo–išvykimo sistemos įgyvendinimas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3AFB47E4" w14:textId="343086B8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2.5.1.1. </w:t>
            </w:r>
            <w:r w:rsidR="007206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priemonės, aprūpintos šiluminio matymo įranga, pirkimas“</w:t>
            </w:r>
          </w:p>
          <w:p w14:paraId="224C4090" w14:textId="77777777" w:rsidR="00720698" w:rsidRDefault="0072069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2.5.2.1  „Pakrančių patrulinio katerio pirkimas“</w:t>
            </w:r>
          </w:p>
          <w:p w14:paraId="1D682761" w14:textId="77777777" w:rsidR="00720698" w:rsidRDefault="0072069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2.5.3.1 „Pakrančių patrulinio laivo pirkimas“</w:t>
            </w:r>
          </w:p>
          <w:p w14:paraId="3F1653F5" w14:textId="4866E4AE" w:rsidR="00917906" w:rsidRPr="00A074E0" w:rsidRDefault="0091790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2.5.4.1 „</w:t>
            </w:r>
            <w:r w:rsidRPr="009179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Greito reagavimo pakrančių patrulinio katerio pirkimas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0356BC" w14:paraId="520959BE" w14:textId="77777777" w:rsidTr="000356BC">
        <w:tc>
          <w:tcPr>
            <w:tcW w:w="3397" w:type="dxa"/>
          </w:tcPr>
          <w:p w14:paraId="453AAF39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C3.1 </w:t>
            </w:r>
            <w:r w:rsidRPr="00DD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Išorės sienas per automatizuotus sienos kontrolės vartus, kurie pastatyti teikiant fondo paramą, kirtusių asmenų skaičius</w:t>
            </w:r>
          </w:p>
        </w:tc>
        <w:tc>
          <w:tcPr>
            <w:tcW w:w="9598" w:type="dxa"/>
          </w:tcPr>
          <w:p w14:paraId="7760F5F8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5DC92A3F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0966962C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3F9BBCF3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54AC7B23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77FCC4C7" w14:textId="57DEEDB4" w:rsidR="000356BC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1E52009D" w14:textId="4AE5BCED" w:rsidR="00A23BD1" w:rsidRDefault="00A23BD1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D1">
              <w:rPr>
                <w:rFonts w:ascii="Times New Roman" w:hAnsi="Times New Roman" w:cs="Times New Roman"/>
                <w:sz w:val="24"/>
                <w:szCs w:val="24"/>
              </w:rPr>
              <w:t>2.1.2.8  “Lavoriškių užkardos sienos stebėjimo sistemos atnaujinimas, II etapas”</w:t>
            </w:r>
          </w:p>
          <w:p w14:paraId="3716090B" w14:textId="38606582" w:rsidR="00D76E62" w:rsidRDefault="00D76E62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“Biometri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nių duomenų patikros sistemos įgyvendinimas (II etapas)“</w:t>
            </w:r>
          </w:p>
          <w:p w14:paraId="6522FDF9" w14:textId="16976F3E" w:rsidR="003466E9" w:rsidRDefault="003466E9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6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14:paraId="6365C37C" w14:textId="05FC3A97" w:rsidR="003466E9" w:rsidRPr="003466E9" w:rsidRDefault="00A074E0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priemonės, aprūpintos šiluminio matymo įranga, pirkimas“</w:t>
            </w:r>
          </w:p>
        </w:tc>
      </w:tr>
      <w:tr w:rsidR="00DD02F1" w14:paraId="27B69092" w14:textId="77777777" w:rsidTr="000356BC">
        <w:tc>
          <w:tcPr>
            <w:tcW w:w="3397" w:type="dxa"/>
          </w:tcPr>
          <w:p w14:paraId="4BC4A4DD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C3.2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Bendras sieną kirtusių asmenų skaičius</w:t>
            </w:r>
          </w:p>
        </w:tc>
        <w:tc>
          <w:tcPr>
            <w:tcW w:w="9598" w:type="dxa"/>
          </w:tcPr>
          <w:p w14:paraId="51F5A021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570CF6C4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2763A2CF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34699E5D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52ED3458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70FDF6A6" w14:textId="339253F1" w:rsidR="00DD02F1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0FAB0EA8" w14:textId="5C1528F9" w:rsidR="00A23BD1" w:rsidRDefault="00A23BD1" w:rsidP="00A2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2.1.2.8  </w:t>
            </w:r>
            <w:r w:rsidRPr="00A23BD1">
              <w:rPr>
                <w:rFonts w:ascii="Times New Roman" w:hAnsi="Times New Roman" w:cs="Times New Roman"/>
                <w:sz w:val="24"/>
                <w:szCs w:val="24"/>
              </w:rPr>
              <w:t xml:space="preserve">“Lavoriškių užkardos sienos stebėjimo sistemos atnaujinimas, II etapas” </w:t>
            </w:r>
          </w:p>
          <w:p w14:paraId="59EC209C" w14:textId="4A936BE6" w:rsidR="00D76E62" w:rsidRDefault="00D76E62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“Biometri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nių duomenų patikros sistemos įgyvendinimas (II etapas)“</w:t>
            </w:r>
          </w:p>
          <w:p w14:paraId="7A5E7F86" w14:textId="76849D44" w:rsidR="00443B12" w:rsidRDefault="003466E9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66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14:paraId="52ABE680" w14:textId="77777777" w:rsidR="00A074E0" w:rsidRPr="00D76E62" w:rsidRDefault="00A074E0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0">
              <w:rPr>
                <w:rFonts w:ascii="Times New Roman" w:hAnsi="Times New Roman" w:cs="Times New Roman"/>
                <w:sz w:val="24"/>
                <w:szCs w:val="24"/>
              </w:rPr>
              <w:t>2.5.1.1. Transporto priemonės, aprūpintos šiluminio matymo įranga, pirkimas“</w:t>
            </w:r>
          </w:p>
        </w:tc>
      </w:tr>
      <w:tr w:rsidR="00DD02F1" w14:paraId="217783DE" w14:textId="77777777" w:rsidTr="000356BC">
        <w:tc>
          <w:tcPr>
            <w:tcW w:w="3397" w:type="dxa"/>
          </w:tcPr>
          <w:p w14:paraId="21D5033D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Nacionalinių sienų stebėjimo infrastruktūros objektų, įsteigtų ir (arba) toliau plėtojamų taikant EUROSUR, skaičius</w:t>
            </w:r>
          </w:p>
        </w:tc>
        <w:tc>
          <w:tcPr>
            <w:tcW w:w="9598" w:type="dxa"/>
          </w:tcPr>
          <w:p w14:paraId="03E9F89B" w14:textId="77777777" w:rsidR="00DD02F1" w:rsidRDefault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 “Įsigyti ir modernizuoti technines priemones nuolatiniam informacijos keitimuisi”</w:t>
            </w:r>
          </w:p>
          <w:p w14:paraId="41F303B0" w14:textId="77777777" w:rsidR="00723F25" w:rsidRDefault="00723F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 “Sienos ste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bėjimo sistemų įdiegimas“</w:t>
            </w:r>
          </w:p>
          <w:p w14:paraId="22E14551" w14:textId="77777777" w:rsidR="00723F25" w:rsidRDefault="00723F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3F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“Bardinų, Viešvilės, Lavoriškių ir G. Žagunio užkardų sienos stebėjimo sistemų ir optoelektroninės įrangos atnaujinimas”</w:t>
            </w:r>
          </w:p>
          <w:p w14:paraId="372CE7C1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.1.2.3. “Jūros sienos stebėjimo sistemos atnaujinimas, I etapas”</w:t>
            </w:r>
          </w:p>
          <w:p w14:paraId="50C39AD9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7B185876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70069AB4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312DA53B" w14:textId="77777777" w:rsidR="00723F2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4869E4B3" w14:textId="603A57E3" w:rsidR="00443B12" w:rsidRPr="00A23BD1" w:rsidRDefault="00A23BD1" w:rsidP="00A23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2.1.2.8  </w:t>
            </w:r>
            <w:r w:rsidRPr="00A23BD1">
              <w:rPr>
                <w:rFonts w:ascii="Times New Roman" w:hAnsi="Times New Roman" w:cs="Times New Roman"/>
                <w:sz w:val="24"/>
                <w:szCs w:val="24"/>
              </w:rPr>
              <w:t xml:space="preserve">“Lavoriškių užkardos sienos stebėjimo sistemos atnaujinimas, II etapas” </w:t>
            </w:r>
          </w:p>
        </w:tc>
      </w:tr>
      <w:tr w:rsidR="00DD02F1" w14:paraId="10A3DC60" w14:textId="77777777" w:rsidTr="000356BC">
        <w:tc>
          <w:tcPr>
            <w:tcW w:w="3397" w:type="dxa"/>
          </w:tcPr>
          <w:p w14:paraId="010A9127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Incidentų, apie kuriuos valstybės narės pateikė pranešimą Europos padėties vaizdo sistemai, skaičius</w:t>
            </w:r>
          </w:p>
        </w:tc>
        <w:tc>
          <w:tcPr>
            <w:tcW w:w="9598" w:type="dxa"/>
          </w:tcPr>
          <w:p w14:paraId="7D16B80B" w14:textId="6ABC619A" w:rsidR="00DD02F1" w:rsidRPr="00B9092D" w:rsidRDefault="00D76E62" w:rsidP="00A074E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2.2.2.2. 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A23BD1" w:rsidRPr="00A23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SMRRT modernizavimas, sąsajų su Latvijos ir Lenkijos ryšio tinklais įdiegimas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B9F8833" w14:textId="77777777" w:rsidR="00A074E0" w:rsidRPr="00B9092D" w:rsidRDefault="00A074E0" w:rsidP="00A07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>2.4.1.1. “Nacionalin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SIS plėtojimas“</w:t>
            </w:r>
          </w:p>
          <w:p w14:paraId="3F03D234" w14:textId="1832D153" w:rsidR="00A074E0" w:rsidRPr="00443B12" w:rsidRDefault="00A074E0" w:rsidP="00443B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>2.4.1.2. “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priemones“</w:t>
            </w:r>
          </w:p>
        </w:tc>
      </w:tr>
      <w:tr w:rsidR="005F752F" w14:paraId="28ECB57D" w14:textId="77777777" w:rsidTr="00A55A2D">
        <w:tc>
          <w:tcPr>
            <w:tcW w:w="12995" w:type="dxa"/>
            <w:gridSpan w:val="2"/>
          </w:tcPr>
          <w:p w14:paraId="794A0D49" w14:textId="77777777" w:rsidR="005F752F" w:rsidRPr="005F752F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52F">
              <w:rPr>
                <w:rStyle w:val="Strong"/>
                <w:rFonts w:ascii="Open Sans" w:hAnsi="Open Sans"/>
                <w:color w:val="000000"/>
                <w:sz w:val="24"/>
                <w:szCs w:val="24"/>
              </w:rPr>
              <w:t>5. KONKRETUS TIKSLAS: NUSIKALSTAMUMO PREVENCIJA IR KOVA SU TARPVALSTYBINIU, SUNKIU IR ORGANIZUOTU NUSIKALSTAMUMU</w:t>
            </w:r>
          </w:p>
        </w:tc>
      </w:tr>
      <w:tr w:rsidR="005F752F" w14:paraId="335F8808" w14:textId="77777777" w:rsidTr="000356BC">
        <w:tc>
          <w:tcPr>
            <w:tcW w:w="3397" w:type="dxa"/>
          </w:tcPr>
          <w:p w14:paraId="1BFB3B94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 xml:space="preserve">Teikiant fondo paramą organizuotų bendrų tyrimų grupių (JIT) ir vykdytų Europos daugiadalykės kovos su nusikalstamumo grėsmėmis platformos (EMPACT)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operatyvinių projektų skaičius, taip pat dalyvaujančios valstybės narės ir valdžios institucijos</w:t>
            </w:r>
          </w:p>
        </w:tc>
        <w:tc>
          <w:tcPr>
            <w:tcW w:w="9598" w:type="dxa"/>
          </w:tcPr>
          <w:p w14:paraId="102954F7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“Laboratorinės įrangos, skirtos narkotinių medžiagų ir jų  pirmtakų tyrimui, įsigijimas, I etapas”</w:t>
            </w:r>
          </w:p>
          <w:p w14:paraId="1CAD440D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5.1.1.2.”Laboratorinės įrangos, skirtos narkotinių  medžiagų ir jų pirmtakų tyrimui, įsigijimas, II etapas” </w:t>
            </w:r>
          </w:p>
          <w:p w14:paraId="3E1862AA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5.1.2.1. “Laboratorinės įrango, skirtos balistiniams, daktiloskopiniams, DNR ir kitiems tyrimams, įsigijimas, I etapas”</w:t>
            </w:r>
          </w:p>
          <w:p w14:paraId="488DF996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Laboratorinės įrango, skirtos balistiniams, daktiloskopiniams, DNR ir kitiems tyrimams, įsigijimas, I etapas”</w:t>
            </w:r>
            <w:r w:rsidRPr="00CD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CC391" w14:textId="77777777" w:rsidR="00820C06" w:rsidRP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06">
              <w:rPr>
                <w:rFonts w:ascii="Times New Roman" w:hAnsi="Times New Roman" w:cs="Times New Roman"/>
                <w:sz w:val="24"/>
                <w:szCs w:val="24"/>
              </w:rPr>
              <w:t xml:space="preserve">5.1.2.9. “Lietuvos kriminalinės policijos biuro Tarptautinių ryšių valdybos informacinės sistemos tobulinimas” </w:t>
            </w:r>
          </w:p>
          <w:p w14:paraId="43D73D82" w14:textId="77777777" w:rsidR="00B9092D" w:rsidRPr="000B13BB" w:rsidRDefault="00820C06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5.1.4.1.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“FNTT žvalgybinės techninės bazės atnaujinimas ir integracinės duomenų valdymo platformos sukūrimas”</w:t>
            </w:r>
          </w:p>
        </w:tc>
      </w:tr>
      <w:tr w:rsidR="005F752F" w14:paraId="5C30A50C" w14:textId="77777777" w:rsidTr="005F752F">
        <w:trPr>
          <w:trHeight w:val="70"/>
        </w:trPr>
        <w:tc>
          <w:tcPr>
            <w:tcW w:w="3397" w:type="dxa"/>
          </w:tcPr>
          <w:p w14:paraId="72F272A5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C2.1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Teisėsaugos pareigūnų, teikiant fondo paramą išklausiusių mokymus sienų kirtimo temomis, skaičius</w:t>
            </w:r>
          </w:p>
        </w:tc>
        <w:tc>
          <w:tcPr>
            <w:tcW w:w="9598" w:type="dxa"/>
          </w:tcPr>
          <w:p w14:paraId="5A2518AE" w14:textId="77777777" w:rsidR="005F752F" w:rsidRPr="00A074E0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5F752F" w14:paraId="1A394FAC" w14:textId="77777777" w:rsidTr="005F752F">
        <w:trPr>
          <w:trHeight w:val="70"/>
        </w:trPr>
        <w:tc>
          <w:tcPr>
            <w:tcW w:w="3397" w:type="dxa"/>
          </w:tcPr>
          <w:p w14:paraId="5138B565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C2.2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Teikiant fondo paramą surengtų mokymų tarpvalstybinėmis temomis trukmė</w:t>
            </w:r>
          </w:p>
        </w:tc>
        <w:tc>
          <w:tcPr>
            <w:tcW w:w="9598" w:type="dxa"/>
          </w:tcPr>
          <w:p w14:paraId="0793BD16" w14:textId="77777777" w:rsidR="005F752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5.3.1.1.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“Policijos sistemos darbuoto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jų kvalifikacijos tobulinimas, stažuotės ES valstybėse narėse, I etapas“</w:t>
            </w:r>
          </w:p>
          <w:p w14:paraId="49C99CDB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5.3.1.2.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“Policijos sistemos darbuotojų kvalifikacijos tobulinimas, stažuotės ES valstybėse narėse,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93494F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5.3.1.3. “Policijos sistemos darbuotojų  užsienio kalbų mokymas, I etapas”</w:t>
            </w:r>
          </w:p>
          <w:p w14:paraId="6B704E0A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5.3.1.4. “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Policijos sistemos darbuotojų  užsienio kalbų mokymas,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  <w:p w14:paraId="4E6EB684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5.3.1.5. :Policijos pareig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ūnų, atsakingų už tarptautinį bendradarbiavimą, įgūdžių tobulinimas“</w:t>
            </w:r>
          </w:p>
          <w:p w14:paraId="085CBA8D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5.3.1.6. “Mokymai, susij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 su pažangiomis prevencinėmis priemonėmis ir modeliais, I etapas“</w:t>
            </w:r>
          </w:p>
          <w:p w14:paraId="686D6978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5.3.1.7.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“Mokymai, susiję su pažangiomis prevencinėmis priemonėmis ir modeliais,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48740DEA" w14:textId="77777777" w:rsidR="00A613AF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5.3.1.8. “Dvi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šalio ir daugiašalio policijos bendradarbiavimo mokymai, I etapas“</w:t>
            </w:r>
          </w:p>
          <w:p w14:paraId="2746A460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5.3.1.9. 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“Dvišalio ir daugiašalio policijos bendradarbiavimo mokymai,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5C1CAC99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5.3.1.10.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„Specializuoti policijos pareigūnų mokymai kriminalistinių tyrimų srityje, I etapas“</w:t>
            </w:r>
          </w:p>
          <w:p w14:paraId="53164C7D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5.3.1.11. 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etapas“</w:t>
            </w:r>
          </w:p>
          <w:p w14:paraId="19812843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 su ES politika susijusiomis temomis, I etapas“</w:t>
            </w:r>
          </w:p>
          <w:p w14:paraId="0AF24572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5.3.1.13. 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„Specializuoti STT pareigūnų mokymai  su ES politika susijusiomis temomis,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0B5ED53F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5.3.1.14. “Ekspertini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kopetencijų  giliniams specializuotais mokymais“ (rezerviniame sąraše)</w:t>
            </w:r>
          </w:p>
          <w:p w14:paraId="50279984" w14:textId="77777777" w:rsidR="00A613AF" w:rsidRP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5.3.1.15. “Pa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žangių technologijų mokymai, nustatant asmens tapatybę“ (rezerviniame sąraše)</w:t>
            </w:r>
          </w:p>
        </w:tc>
      </w:tr>
      <w:tr w:rsidR="005F752F" w14:paraId="348DC5B5" w14:textId="77777777" w:rsidTr="005F752F">
        <w:trPr>
          <w:trHeight w:val="70"/>
        </w:trPr>
        <w:tc>
          <w:tcPr>
            <w:tcW w:w="3397" w:type="dxa"/>
          </w:tcPr>
          <w:p w14:paraId="23B2307C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C3.1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Nusikalstamumo prevencijos srities projektų skaičius</w:t>
            </w:r>
          </w:p>
        </w:tc>
        <w:tc>
          <w:tcPr>
            <w:tcW w:w="9598" w:type="dxa"/>
          </w:tcPr>
          <w:p w14:paraId="05FAC4F7" w14:textId="77777777" w:rsidR="00CD72F8" w:rsidRDefault="00CD72F8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5.1.1.3. “Kriminalistinės, techninės ir programinės įrangos, skirtos elektroninių nusikaltimų tyr</w:t>
            </w:r>
            <w:r w:rsidR="00E53397">
              <w:rPr>
                <w:rFonts w:ascii="Times New Roman" w:hAnsi="Times New Roman" w:cs="Times New Roman"/>
                <w:sz w:val="24"/>
                <w:szCs w:val="24"/>
              </w:rPr>
              <w:t>imams, įsigijimas, I etapas”</w:t>
            </w:r>
          </w:p>
          <w:p w14:paraId="0062E8E3" w14:textId="77777777" w:rsidR="00E53397" w:rsidRDefault="00E5339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5.1.1.4. “Kriminalistinės, techninės ir programinės įrangos, skirtos elektroninių nusikaltimų tyrimams, įsigijimas, II etapas”</w:t>
            </w:r>
          </w:p>
          <w:p w14:paraId="6D8D05EF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5.1.1.5. “Neteisėtos tarptautinės narkotikų apyvartos kontrolės stiprinimas, I etapas”</w:t>
            </w:r>
          </w:p>
          <w:p w14:paraId="562987E1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5.1.1.6.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“Neteisėtos tarptautinės narkotikų apyvartos kontrolės stiprinimas, II etapas”</w:t>
            </w:r>
          </w:p>
          <w:p w14:paraId="124E93BD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5.1.1.7. “Pajėgumų stiprinimasužkardant, atskleidžiant ir tiriant elektroninius nusikaltimus, I etapas”</w:t>
            </w:r>
          </w:p>
          <w:p w14:paraId="6B867AB2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5.1.1.8. “Pajėgumų stiprinimas užkardant, atskleidžiant ir tiriant elektroninius nusikaltimus, II etapas”</w:t>
            </w:r>
          </w:p>
          <w:p w14:paraId="211DF1FB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5.1.2.3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“Pažangių prevencinių priemonių ir modelių diegimas”</w:t>
            </w:r>
          </w:p>
          <w:p w14:paraId="14D8F2A4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5.1.2.4. “Naujų technologijų diegimas, I etapas”</w:t>
            </w:r>
          </w:p>
          <w:p w14:paraId="61E149DA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5.1.2.5. “Naujų technologijų diegimas, II etapas”</w:t>
            </w:r>
          </w:p>
          <w:p w14:paraId="1ADB2CF4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5.1.2.6. “Duomenų rinkimo galimybių bei surenkamos informacijos kokybės gerinimas, I etapas”</w:t>
            </w:r>
          </w:p>
          <w:p w14:paraId="655850AC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5.1.2.7. “Duomenų rinkimo galimybių bei surenkamos informacijos kokybės gerinimas, II etapas”</w:t>
            </w:r>
          </w:p>
          <w:p w14:paraId="081BD3FE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5.1.2.8.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“Mobiliųjų stebėjimo sistemų diegimas ir valdymas”</w:t>
            </w:r>
          </w:p>
          <w:p w14:paraId="2EA07444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5.1.2.9. “Lietuvos kriminalinės policijos biuro Tarptautinių</w:t>
            </w:r>
            <w:r w:rsidR="00B9092D">
              <w:rPr>
                <w:rFonts w:ascii="Times New Roman" w:hAnsi="Times New Roman" w:cs="Times New Roman"/>
                <w:sz w:val="24"/>
                <w:szCs w:val="24"/>
              </w:rPr>
              <w:t xml:space="preserve"> ryšių valdybos informacinės sistemos tobulinimas” </w:t>
            </w:r>
          </w:p>
          <w:p w14:paraId="5C9928FF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5.1.2.10. “Ekspertinio tyrimotechnologijos Ad Lab įteisinimas ir palaikymas”</w:t>
            </w:r>
          </w:p>
          <w:p w14:paraId="7AC6A5BC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5.1.2.11. “Pažangių technologijų, taikomų nustatant asmens tapatybę, diegimas”</w:t>
            </w:r>
          </w:p>
          <w:p w14:paraId="31D11B1A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5.1.3.1. “Muitinės padalinių, vykdančių kriminalinę žvalgybą, pajėgumų stiprinimas” (rezerviniame sąraše)</w:t>
            </w:r>
          </w:p>
          <w:p w14:paraId="3E098D63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5.1.3.2.  “ IT įrangos, skirtos muitinės duomenų analizei ir apdorojimui, įsigijimas”</w:t>
            </w:r>
          </w:p>
          <w:p w14:paraId="0F81D9BF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5.1.4.1.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“FNTT žvalgybinės techninės bazės atnaujinimas ir integracinės duomenų valdymo platformos sukūrimas” </w:t>
            </w:r>
          </w:p>
          <w:p w14:paraId="038B3282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5.1.4.2. “ Specialiųjų tyrimų tarnybos kriminalinės žvalgybos valdymo sistemos plėtojimas”</w:t>
            </w:r>
          </w:p>
          <w:p w14:paraId="0E1D4899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5.1.4.3. “Priemonmės, skirtos antikorupciniam švietimui, I etapas”</w:t>
            </w:r>
          </w:p>
          <w:p w14:paraId="1476BEDF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5.1.4.4. “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ės, skirtos antikorupciniam švietimui, II etapas”</w:t>
            </w:r>
          </w:p>
          <w:p w14:paraId="2A8527B6" w14:textId="77777777" w:rsidR="003560BF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5.4.1.1. “Saugos centrų infrastruktūros modernizavimas ir remontas, I etapas”</w:t>
            </w:r>
          </w:p>
          <w:p w14:paraId="51513B85" w14:textId="77777777" w:rsidR="003560BF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5.4.1.2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. “Saugos centrų infrastruktūros modernizavimas ir remontas, II etapas”</w:t>
            </w:r>
          </w:p>
          <w:p w14:paraId="34654551" w14:textId="77777777" w:rsidR="000B13BB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5.4.1.3. “Apsaugos nuo nusikalstamo poveikio priemonių efektyvumo didinimas, I etapas”</w:t>
            </w:r>
          </w:p>
          <w:p w14:paraId="2C2112C3" w14:textId="77777777" w:rsidR="000B13BB" w:rsidRDefault="000B13BB" w:rsidP="000B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5.4.1.4. “Apsaugos nuo nusikalstamo poveikio priemonių efektyvumo didinimas, II etapas”</w:t>
            </w:r>
          </w:p>
          <w:p w14:paraId="0BD9909E" w14:textId="77777777" w:rsidR="000B13BB" w:rsidRPr="00A074E0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 xml:space="preserve">5.4.1.5.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“Poligrafinės, leidybinės ir spaudos inžinerijos įrangos įsigijimas ir modernizavimas”</w:t>
            </w:r>
          </w:p>
        </w:tc>
      </w:tr>
      <w:tr w:rsidR="005F752F" w14:paraId="49B9DC72" w14:textId="77777777" w:rsidTr="005F752F">
        <w:trPr>
          <w:trHeight w:val="70"/>
        </w:trPr>
        <w:tc>
          <w:tcPr>
            <w:tcW w:w="3397" w:type="dxa"/>
          </w:tcPr>
          <w:p w14:paraId="3DE66F18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C3.2</w:t>
            </w:r>
            <w:r w:rsidR="00F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Nusikalstamumo prevencijos srities projektų finansinė vertė</w:t>
            </w:r>
          </w:p>
        </w:tc>
        <w:tc>
          <w:tcPr>
            <w:tcW w:w="9598" w:type="dxa"/>
          </w:tcPr>
          <w:p w14:paraId="4C40CA5A" w14:textId="77777777" w:rsidR="00E53397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F8">
              <w:rPr>
                <w:rFonts w:ascii="Times New Roman" w:hAnsi="Times New Roman" w:cs="Times New Roman"/>
                <w:sz w:val="24"/>
                <w:szCs w:val="24"/>
              </w:rPr>
              <w:t>5.1.1.1.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“Laboratorinės įrangos, skirtos narkotinių medžiagų ir jų  pirmtakų tyrimui, įsigijimas, I etapas”</w:t>
            </w:r>
          </w:p>
          <w:p w14:paraId="6C9FC858" w14:textId="77777777" w:rsidR="00E53397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5.1.1.2.</w:t>
            </w:r>
            <w:r w:rsidR="005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25B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aboratorinės įrangos, skirtos narkotinių  medžiagų ir jų pirmtakų tyrimui, įsigijimas, II etapas”</w:t>
            </w:r>
          </w:p>
          <w:p w14:paraId="48D5B627" w14:textId="77777777" w:rsidR="005F752F" w:rsidRPr="00A074E0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5.1.1.3. “Kriminalistinės, techninės ir programinės įrangos, skirtos elektroninių nusikaltimų tyrimams, įsigijimas, I etapas”</w:t>
            </w:r>
          </w:p>
        </w:tc>
      </w:tr>
      <w:tr w:rsidR="005F752F" w14:paraId="4329D42D" w14:textId="77777777" w:rsidTr="005F752F">
        <w:trPr>
          <w:trHeight w:val="70"/>
        </w:trPr>
        <w:tc>
          <w:tcPr>
            <w:tcW w:w="3397" w:type="dxa"/>
          </w:tcPr>
          <w:p w14:paraId="7A4AD8ED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Iš fondo remiamų projektų, kuriais siekiama gerinti keitimąsi teisėsaugos srities informacija, susijusį su Europolo duomenų sistemomis, saugyklomis arba komunikacijos priemonėmis, skaičius (</w:t>
            </w:r>
            <w:proofErr w:type="gramStart"/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pvz.,</w:t>
            </w:r>
            <w:proofErr w:type="gramEnd"/>
            <w:r w:rsidRPr="005F752F">
              <w:rPr>
                <w:rFonts w:ascii="Times New Roman" w:hAnsi="Times New Roman" w:cs="Times New Roman"/>
                <w:sz w:val="24"/>
                <w:szCs w:val="24"/>
              </w:rPr>
              <w:t xml:space="preserve"> duomenų įkėlimo programos, galimybių naudotis Saugaus keitimosi informacija tinklo programa (angl. SIENA) didinimas, projektai, kuriais siekiama gerinti duomenų teikimą analizei skirtoms darbo byloms ir t. t.)</w:t>
            </w:r>
          </w:p>
        </w:tc>
        <w:tc>
          <w:tcPr>
            <w:tcW w:w="9598" w:type="dxa"/>
          </w:tcPr>
          <w:p w14:paraId="2471024C" w14:textId="77777777" w:rsidR="005F752F" w:rsidRDefault="00E5339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97">
              <w:rPr>
                <w:rFonts w:ascii="Times New Roman" w:hAnsi="Times New Roman" w:cs="Times New Roman"/>
                <w:sz w:val="24"/>
                <w:szCs w:val="24"/>
              </w:rPr>
              <w:t xml:space="preserve">5.2.1.1.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“Europos keitimosi informacija modelio (EKIM) rekomendacijų įgyvendinimas”</w:t>
            </w:r>
          </w:p>
          <w:p w14:paraId="1E71DD60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5.2.2.1 “HDR modernizavimas, panaudojant pažangias asmens veido atpažinimo ir asmens paieškos pagal atpažinimo žymes technologijas”</w:t>
            </w:r>
          </w:p>
          <w:p w14:paraId="11467575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5.2.2.2. “Darbo vietų HDR duomenims rinkti sukūrimas”</w:t>
            </w:r>
          </w:p>
          <w:p w14:paraId="5714CB37" w14:textId="77777777" w:rsidR="003560BF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5.2.3.1. “NVŽR analitinių priemonių, skirtų rinkti ir lyginti erdvinius nusikalstamumo duomenis, sukūrimas”</w:t>
            </w:r>
          </w:p>
          <w:p w14:paraId="7355E336" w14:textId="77777777" w:rsidR="003560BF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5.2.4.1. “Duomenų apie elektroninių ryšių įvykius teikimo sistemos sukūrimas”</w:t>
            </w:r>
          </w:p>
          <w:p w14:paraId="67D8E1E7" w14:textId="77777777" w:rsidR="005F2BF3" w:rsidRDefault="005F2BF3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5.2.5.1 “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Keleivių duomenų įrašų (PNR) tvarkymo sistemos plėtra, I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EF42451" w14:textId="77777777" w:rsidR="005F2BF3" w:rsidRDefault="005F2BF3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5.2.5.2 “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Keleivių duomenų įrašų (PNR) tvarkymo sistemos plėtra, II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F0857C0" w14:textId="77777777" w:rsidR="005F2BF3" w:rsidRPr="007531F6" w:rsidRDefault="005F2BF3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6">
              <w:rPr>
                <w:rFonts w:ascii="Times New Roman" w:hAnsi="Times New Roman" w:cs="Times New Roman"/>
                <w:sz w:val="24"/>
                <w:szCs w:val="24"/>
              </w:rPr>
              <w:t>5.2.6.1 “Keitimosi įslaptinta žvalgybinio pobūdžio informacija tinklo sukūrimas”</w:t>
            </w:r>
          </w:p>
          <w:p w14:paraId="53C4E248" w14:textId="37A56B16" w:rsidR="005F2BF3" w:rsidRPr="00A074E0" w:rsidRDefault="007531F6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1F6">
              <w:rPr>
                <w:rFonts w:ascii="Times New Roman" w:hAnsi="Times New Roman" w:cs="Times New Roman"/>
                <w:sz w:val="24"/>
                <w:szCs w:val="24"/>
              </w:rPr>
              <w:t>5.2.6.2 “Informacijos apie galinių elektroninių ryšių įrenginių vietos nustatymą teikimas kompetentingoms institucijoms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5F752F" w14:paraId="208B6CBA" w14:textId="77777777" w:rsidTr="00A55A2D">
        <w:trPr>
          <w:trHeight w:val="70"/>
        </w:trPr>
        <w:tc>
          <w:tcPr>
            <w:tcW w:w="12995" w:type="dxa"/>
            <w:gridSpan w:val="2"/>
          </w:tcPr>
          <w:p w14:paraId="36BD8B07" w14:textId="77777777" w:rsidR="005F752F" w:rsidRPr="005F752F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52F">
              <w:rPr>
                <w:rStyle w:val="Strong"/>
                <w:rFonts w:ascii="Open Sans" w:hAnsi="Open Sans"/>
                <w:color w:val="000000"/>
                <w:sz w:val="24"/>
                <w:szCs w:val="24"/>
              </w:rPr>
              <w:t>6. KONKRETUS TIKSLAS: PAJĖGUMŲ STIPRINIMAS SIEKIANT VEIKSMINGAI VALDYTI SAUGUMUI KYLANČIĄ RIZIKĄ IR KRIZES</w:t>
            </w:r>
          </w:p>
        </w:tc>
      </w:tr>
      <w:tr w:rsidR="005F752F" w14:paraId="7DAB1DF3" w14:textId="77777777" w:rsidTr="005F752F">
        <w:trPr>
          <w:trHeight w:val="70"/>
        </w:trPr>
        <w:tc>
          <w:tcPr>
            <w:tcW w:w="3397" w:type="dxa"/>
          </w:tcPr>
          <w:p w14:paraId="1FD6E59A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="00A613AF"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sukurtų arba patobulintų priemonių, kuriomis siekiama sudaryti geresnes sąlygas valstybėms narėms apsaugoti ypatingos svarbos infrastruktūros objektus visuose ekonomikos sektoriuose, skaičius</w:t>
            </w:r>
          </w:p>
        </w:tc>
        <w:tc>
          <w:tcPr>
            <w:tcW w:w="9598" w:type="dxa"/>
          </w:tcPr>
          <w:p w14:paraId="12330A1B" w14:textId="77777777" w:rsidR="000B13BB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3">
              <w:rPr>
                <w:rFonts w:ascii="Times New Roman" w:hAnsi="Times New Roman" w:cs="Times New Roman"/>
                <w:sz w:val="24"/>
                <w:szCs w:val="24"/>
              </w:rPr>
              <w:t>6.2.1.1. “Tinklo / platformos, skirtos informacijos mainams tarp pirmosios linijos pareigūnų, sukūrimas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B177A63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6.2.2.1. “Pasirengimas vykdyti automatizuotą keitimąsi duomenimis per Interpolo balistinės informacijos tinkle (IBIN)”</w:t>
            </w:r>
          </w:p>
          <w:p w14:paraId="5EBEF3DE" w14:textId="77777777" w:rsidR="00AD2551" w:rsidRDefault="00AD2551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6.1.1.13. “Kibernetinių atakų ir kitų nusikaltimų elektroninėje erdvėje aptikimo stiprinimas, I etapas” </w:t>
            </w:r>
          </w:p>
          <w:p w14:paraId="5E9E6590" w14:textId="77777777" w:rsidR="00AD2551" w:rsidRPr="00A074E0" w:rsidRDefault="00AD2551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6.1.1.14. “Kibernetinių atakų ir kitų nusikaltimų elektroninėje erdvėje aptikimo stiprinimas, II etapas”</w:t>
            </w:r>
          </w:p>
        </w:tc>
      </w:tr>
      <w:tr w:rsidR="005F752F" w14:paraId="738DF498" w14:textId="77777777" w:rsidTr="005F752F">
        <w:trPr>
          <w:trHeight w:val="70"/>
        </w:trPr>
        <w:tc>
          <w:tcPr>
            <w:tcW w:w="3397" w:type="dxa"/>
          </w:tcPr>
          <w:p w14:paraId="28A8EEE9" w14:textId="77777777" w:rsidR="005F752F" w:rsidRDefault="00A613A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vykdytų projektų, susijusių su rizikos vertinimu ir valdymu vidaus saugumo srityje, skaičius</w:t>
            </w:r>
          </w:p>
        </w:tc>
        <w:tc>
          <w:tcPr>
            <w:tcW w:w="9598" w:type="dxa"/>
          </w:tcPr>
          <w:p w14:paraId="73E22F64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6.1.1.1.  “LPAOR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pajėgumų stiprinimas vykdyti specialiąsias  antiteroristines ir įkaitų  išlaisvinimo operacijas, I etapas”</w:t>
            </w:r>
          </w:p>
          <w:p w14:paraId="47410BDC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6.1.1.2. 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“LPAOR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pajėgumų stiprinimas vykdyti specialiąsias  antiteroristines ir įkaitų  išlaisvinimo operacijas, II etapas”</w:t>
            </w:r>
          </w:p>
          <w:p w14:paraId="2570CC91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6.1.1.3.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snaiperių pajėgumų vykdant antiteroristines ir įkaitų  išlaisvinimo operacijas stiprinimas, I etapas”</w:t>
            </w:r>
          </w:p>
          <w:p w14:paraId="7364A1C0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 xml:space="preserve">6.1.1.4.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snaiperių pajėgumų vykdant antiteroristines ir įkaitų  išlaisvinimo operacijas stiprinimas, II etapas”</w:t>
            </w:r>
          </w:p>
          <w:p w14:paraId="769E4319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6.1.1.5.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išminuotojų pajėgumų vykdyti sprogmenų paiešką ir neutralizavimą stiprinimas, I etapas”</w:t>
            </w:r>
          </w:p>
          <w:p w14:paraId="30811C21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6.1.1.6.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išminuotojų pajėgumų vykdyti sprogmenų paiešką ir neutralizavimą stiprinimas, II etapas”</w:t>
            </w:r>
          </w:p>
          <w:p w14:paraId="6420F62D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6.1.1.7. </w:t>
            </w:r>
            <w:r w:rsidRPr="00232975">
              <w:rPr>
                <w:rFonts w:ascii="Times New Roman" w:hAnsi="Times New Roman" w:cs="Times New Roman"/>
                <w:sz w:val="24"/>
                <w:szCs w:val="24"/>
              </w:rPr>
              <w:t>“LPAOR “Aras”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pareigūnų pajėgumų vykdyti pavojingų ir ginkluotų nusikaltėlių sulaikymo operacijas, stiprinimas”</w:t>
            </w:r>
          </w:p>
          <w:p w14:paraId="5F911488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6.1.1.8. “Laboratorinės įrangos įsigijimas sprogstamųjų  medžiagų, šaunamųjų ginklų, šaudmenų ir savadarbių įtaisų tyrimams atlikti, I etapas”</w:t>
            </w:r>
          </w:p>
          <w:p w14:paraId="5BCD8CBB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6.1.1.9. “Laboratorinės įrangos įsigijimas sprogstamųjų  medžiagų, šaunamųjų ginklų, šaudmenų ir savadarbių įtaisų tyrimams atlikti, II etapas”</w:t>
            </w:r>
          </w:p>
          <w:p w14:paraId="779CCE47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6.1.1.10. “Kriminalistinių tyrimų įrangos elektroninių nusikaltimų ir atakų prieš informacines sistemas tyrimams atlikti įsigijimas, I etapas”</w:t>
            </w:r>
          </w:p>
          <w:p w14:paraId="55A26CA8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6.1.1.11. “Kriminalistinių tyrimų įrangos elektroninių nusikaltimų ir atakų prieš informacines sistemas tyrimams atlikti įsigijimas, I etapas”</w:t>
            </w:r>
          </w:p>
          <w:p w14:paraId="532F5467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6.1.1.12. Naujų technologijų, skirtų saugumui kylančios  rizikos ir ekstremalių situacijų valdymui, įdiegimas”</w:t>
            </w:r>
          </w:p>
          <w:p w14:paraId="59C5D86C" w14:textId="77777777" w:rsidR="00AD2551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6.1.1.13. “Kibernetinių atakų ir kitų nusikaltimų elektroninėje erdvėje aptikimo stiprinimas, I etapas” </w:t>
            </w:r>
          </w:p>
          <w:p w14:paraId="160C7B62" w14:textId="77777777" w:rsidR="00232975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6.1.1.14. “Kibernetinių atakų ir kitų nusikaltimų elektroninėje erdvėje aptikimo stiprinimas, II etapas”</w:t>
            </w:r>
          </w:p>
          <w:p w14:paraId="77E61166" w14:textId="77777777" w:rsidR="00AD2551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6.1.1.15. “Duomenų rinkimo nuotoliniu būdu stiprinimas”</w:t>
            </w:r>
          </w:p>
          <w:p w14:paraId="50367C1A" w14:textId="77777777" w:rsidR="00232975" w:rsidRDefault="00AD2551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6.1.1.16. “LPAOR “Aras”  pajėgumų stiprinimas vkdyti specialiąsias, antiteroristines ir įkaitų išlaisvinimo operacijas, III etapas”</w:t>
            </w:r>
          </w:p>
          <w:p w14:paraId="5543C9A3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440A" w14:textId="77777777" w:rsidR="005F752F" w:rsidRPr="00A074E0" w:rsidRDefault="005F752F" w:rsidP="00032B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752F" w14:paraId="2CFB257E" w14:textId="77777777" w:rsidTr="005F752F">
        <w:trPr>
          <w:trHeight w:val="70"/>
        </w:trPr>
        <w:tc>
          <w:tcPr>
            <w:tcW w:w="3397" w:type="dxa"/>
          </w:tcPr>
          <w:p w14:paraId="27ED5791" w14:textId="77777777" w:rsidR="005F752F" w:rsidRDefault="00A613A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C3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surengtų ekspertų susitikimų, praktinių mokymų, seminarų, konferencijų, išleistų leidinių, sukurtų interneto svetainių ir vykdytų konsultacijų (internetu) skaičius</w:t>
            </w:r>
          </w:p>
        </w:tc>
        <w:tc>
          <w:tcPr>
            <w:tcW w:w="9598" w:type="dxa"/>
          </w:tcPr>
          <w:p w14:paraId="57452254" w14:textId="77777777" w:rsidR="005F752F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7">
              <w:rPr>
                <w:rFonts w:ascii="Times New Roman" w:hAnsi="Times New Roman" w:cs="Times New Roman"/>
                <w:sz w:val="24"/>
                <w:szCs w:val="24"/>
              </w:rPr>
              <w:t>6.3.1.1.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“Specializuotų kriminalinės policijos padalinių pareigūnų kvalifikacijos kėlimas, I etapas”</w:t>
            </w:r>
          </w:p>
          <w:p w14:paraId="1242C364" w14:textId="77777777" w:rsidR="00032B47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6.3.1.2. “Specializuotų kriminalinės policijos padalinių pareigūnų kvalifikacijos kėlimas, II etapas”</w:t>
            </w:r>
          </w:p>
          <w:p w14:paraId="264E82C2" w14:textId="77777777" w:rsidR="00032B47" w:rsidRPr="00A074E0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6.3.1.3. “Kriminalistinių tyrimųpadalinių darbuotojų, tiriančių nusikaltimus terorizmo ir smurtinio ekstremizmo bylose, kvalifikacijos kėlimas”</w:t>
            </w:r>
          </w:p>
        </w:tc>
      </w:tr>
    </w:tbl>
    <w:p w14:paraId="39DA2485" w14:textId="77777777" w:rsidR="00B50247" w:rsidRDefault="00B50247"/>
    <w:p w14:paraId="7B2C1C5E" w14:textId="77777777" w:rsidR="005528C6" w:rsidRPr="005528C6" w:rsidRDefault="005528C6" w:rsidP="005528C6">
      <w:pPr>
        <w:rPr>
          <w:rFonts w:ascii="Times New Roman" w:hAnsi="Times New Roman" w:cs="Times New Roman"/>
          <w:sz w:val="24"/>
          <w:szCs w:val="24"/>
        </w:rPr>
      </w:pPr>
    </w:p>
    <w:p w14:paraId="6649463F" w14:textId="77777777" w:rsidR="005528C6" w:rsidRPr="005528C6" w:rsidRDefault="005528C6" w:rsidP="00552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8C6" w:rsidRPr="005528C6" w:rsidSect="000356BC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533"/>
    <w:multiLevelType w:val="hybridMultilevel"/>
    <w:tmpl w:val="2DC6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C"/>
    <w:rsid w:val="00032B47"/>
    <w:rsid w:val="000356BC"/>
    <w:rsid w:val="000B13BB"/>
    <w:rsid w:val="000E0502"/>
    <w:rsid w:val="00133647"/>
    <w:rsid w:val="001975A9"/>
    <w:rsid w:val="00232975"/>
    <w:rsid w:val="003135E3"/>
    <w:rsid w:val="003466E9"/>
    <w:rsid w:val="0035589D"/>
    <w:rsid w:val="003560BF"/>
    <w:rsid w:val="003721E8"/>
    <w:rsid w:val="00395CCB"/>
    <w:rsid w:val="003C4024"/>
    <w:rsid w:val="00414FC6"/>
    <w:rsid w:val="00427E04"/>
    <w:rsid w:val="00443B12"/>
    <w:rsid w:val="00456BE1"/>
    <w:rsid w:val="00482ABD"/>
    <w:rsid w:val="00525BA4"/>
    <w:rsid w:val="005528C6"/>
    <w:rsid w:val="00567875"/>
    <w:rsid w:val="005F2BF3"/>
    <w:rsid w:val="005F752F"/>
    <w:rsid w:val="00672943"/>
    <w:rsid w:val="006A6298"/>
    <w:rsid w:val="007063E3"/>
    <w:rsid w:val="00720698"/>
    <w:rsid w:val="00723F25"/>
    <w:rsid w:val="007349C8"/>
    <w:rsid w:val="007531F6"/>
    <w:rsid w:val="00777BD8"/>
    <w:rsid w:val="007B530F"/>
    <w:rsid w:val="00820C06"/>
    <w:rsid w:val="008B5138"/>
    <w:rsid w:val="009063DC"/>
    <w:rsid w:val="00917906"/>
    <w:rsid w:val="00956A85"/>
    <w:rsid w:val="00A074E0"/>
    <w:rsid w:val="00A23BD1"/>
    <w:rsid w:val="00A43E0C"/>
    <w:rsid w:val="00A46353"/>
    <w:rsid w:val="00A55A2D"/>
    <w:rsid w:val="00A613AF"/>
    <w:rsid w:val="00AB5B2E"/>
    <w:rsid w:val="00AD2551"/>
    <w:rsid w:val="00B359B7"/>
    <w:rsid w:val="00B50247"/>
    <w:rsid w:val="00B9092D"/>
    <w:rsid w:val="00CD72F8"/>
    <w:rsid w:val="00D2262B"/>
    <w:rsid w:val="00D76E62"/>
    <w:rsid w:val="00D95E27"/>
    <w:rsid w:val="00DD02F1"/>
    <w:rsid w:val="00E53397"/>
    <w:rsid w:val="00F13891"/>
    <w:rsid w:val="00F35E9F"/>
    <w:rsid w:val="00F57853"/>
    <w:rsid w:val="00F653DF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EDF9"/>
  <w15:chartTrackingRefBased/>
  <w15:docId w15:val="{10B8441F-A72C-4E5A-AFFA-C574BE9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530F"/>
    <w:rPr>
      <w:b/>
      <w:bCs/>
    </w:rPr>
  </w:style>
  <w:style w:type="paragraph" w:styleId="ListParagraph">
    <w:name w:val="List Paragraph"/>
    <w:basedOn w:val="Normal"/>
    <w:uiPriority w:val="34"/>
    <w:qFormat/>
    <w:rsid w:val="00F6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0DAE-8450-40C2-9800-098A0972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4</cp:revision>
  <cp:lastPrinted>2019-04-09T10:47:00Z</cp:lastPrinted>
  <dcterms:created xsi:type="dcterms:W3CDTF">2019-04-09T11:00:00Z</dcterms:created>
  <dcterms:modified xsi:type="dcterms:W3CDTF">2019-04-09T12:46:00Z</dcterms:modified>
</cp:coreProperties>
</file>