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4435" w14:textId="78AC57A2" w:rsidR="008D1961" w:rsidRDefault="000F153F" w:rsidP="00F95738">
      <w:pPr>
        <w:spacing w:after="0" w:line="240" w:lineRule="auto"/>
        <w:ind w:left="9072"/>
        <w:jc w:val="both"/>
        <w:rPr>
          <w:rFonts w:ascii="Times New Roman" w:hAnsi="Times New Roman"/>
          <w:lang w:val="en-GB"/>
        </w:rPr>
      </w:pPr>
      <w:r>
        <w:rPr>
          <w:rFonts w:ascii="Times New Roman" w:hAnsi="Times New Roman"/>
          <w:lang w:val="en-GB"/>
        </w:rPr>
        <w:t xml:space="preserve">Annex No </w:t>
      </w:r>
      <w:r w:rsidR="00F95738">
        <w:rPr>
          <w:rFonts w:ascii="Times New Roman" w:hAnsi="Times New Roman"/>
          <w:lang w:val="en-GB"/>
        </w:rPr>
        <w:t>3</w:t>
      </w:r>
      <w:r>
        <w:rPr>
          <w:rFonts w:ascii="Times New Roman" w:hAnsi="Times New Roman"/>
          <w:lang w:val="en-GB"/>
        </w:rPr>
        <w:t xml:space="preserve"> </w:t>
      </w:r>
      <w:r w:rsidR="00551583" w:rsidRPr="00551583">
        <w:rPr>
          <w:rFonts w:ascii="Times New Roman" w:hAnsi="Times New Roman"/>
          <w:lang w:val="en-GB"/>
        </w:rPr>
        <w:t>to the Guidelines for applicants of the open call “</w:t>
      </w:r>
      <w:r w:rsidR="00AE4E5E">
        <w:rPr>
          <w:rFonts w:ascii="Times New Roman" w:hAnsi="Times New Roman"/>
          <w:lang w:val="en-GB"/>
        </w:rPr>
        <w:t>S</w:t>
      </w:r>
      <w:bookmarkStart w:id="0" w:name="_GoBack"/>
      <w:bookmarkEnd w:id="0"/>
      <w:r w:rsidR="00AE4E5E" w:rsidRPr="00AE4E5E">
        <w:rPr>
          <w:rFonts w:ascii="Times New Roman" w:hAnsi="Times New Roman"/>
          <w:lang w:val="en-GB"/>
        </w:rPr>
        <w:t xml:space="preserve">upporting </w:t>
      </w:r>
      <w:r w:rsidR="00933280">
        <w:rPr>
          <w:rFonts w:ascii="Times New Roman" w:hAnsi="Times New Roman"/>
          <w:lang w:val="en-GB"/>
        </w:rPr>
        <w:t>l</w:t>
      </w:r>
      <w:r w:rsidR="00933280" w:rsidRPr="00933280">
        <w:rPr>
          <w:rFonts w:ascii="Times New Roman" w:hAnsi="Times New Roman"/>
          <w:lang w:val="en-GB"/>
        </w:rPr>
        <w:t xml:space="preserve">ocal </w:t>
      </w:r>
      <w:r w:rsidR="00933280">
        <w:rPr>
          <w:rFonts w:ascii="Times New Roman" w:hAnsi="Times New Roman"/>
          <w:lang w:val="en-GB"/>
        </w:rPr>
        <w:t>c</w:t>
      </w:r>
      <w:r w:rsidR="00933280" w:rsidRPr="00933280">
        <w:rPr>
          <w:rFonts w:ascii="Times New Roman" w:hAnsi="Times New Roman"/>
          <w:lang w:val="en-GB"/>
        </w:rPr>
        <w:t xml:space="preserve">ultural </w:t>
      </w:r>
      <w:r w:rsidR="00933280">
        <w:rPr>
          <w:rFonts w:ascii="Times New Roman" w:hAnsi="Times New Roman"/>
          <w:lang w:val="en-GB"/>
        </w:rPr>
        <w:t>e</w:t>
      </w:r>
      <w:r w:rsidR="00933280" w:rsidRPr="00933280">
        <w:rPr>
          <w:rFonts w:ascii="Times New Roman" w:hAnsi="Times New Roman"/>
          <w:lang w:val="en-GB"/>
        </w:rPr>
        <w:t>ntrepreneurship</w:t>
      </w:r>
      <w:r w:rsidR="00551583" w:rsidRPr="00551583">
        <w:rPr>
          <w:rFonts w:ascii="Times New Roman" w:hAnsi="Times New Roman"/>
          <w:lang w:val="en-GB"/>
        </w:rPr>
        <w:t>” under the EEA financial mechanism programme “Culture” 2014-2021</w:t>
      </w:r>
    </w:p>
    <w:p w14:paraId="6D073629" w14:textId="77777777" w:rsidR="003B29F3" w:rsidRPr="000F153F" w:rsidRDefault="003B29F3" w:rsidP="003B29F3">
      <w:pPr>
        <w:spacing w:after="0" w:line="240" w:lineRule="auto"/>
        <w:ind w:left="8505"/>
        <w:jc w:val="both"/>
        <w:rPr>
          <w:rFonts w:ascii="Times New Roman" w:hAnsi="Times New Roman"/>
          <w:lang w:val="en-GB"/>
        </w:rPr>
      </w:pPr>
    </w:p>
    <w:p w14:paraId="48B5A2A7" w14:textId="0D9C4732"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71705FAE"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030DFF20"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79362775"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592AD81F"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63AB7AE9"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artner (s) shall be verified during the evaluation of the application.</w:t>
            </w:r>
          </w:p>
          <w:p w14:paraId="35B47C22" w14:textId="2E899D3B" w:rsidR="00777F6C" w:rsidRPr="000F153F" w:rsidRDefault="00262531" w:rsidP="0057687F">
            <w:pPr>
              <w:jc w:val="both"/>
              <w:rPr>
                <w:rFonts w:ascii="Times New Roman" w:hAnsi="Times New Roman"/>
                <w:sz w:val="20"/>
                <w:szCs w:val="20"/>
                <w:lang w:val="en-GB"/>
              </w:rPr>
            </w:pPr>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w:t>
            </w:r>
            <w:proofErr w:type="gramStart"/>
            <w:r w:rsidR="006F39D1">
              <w:rPr>
                <w:rFonts w:ascii="Times New Roman" w:hAnsi="Times New Roman"/>
                <w:sz w:val="20"/>
                <w:szCs w:val="20"/>
                <w:lang w:val="en-GB"/>
              </w:rPr>
              <w:t xml:space="preserve">adopted </w:t>
            </w:r>
            <w:r w:rsidR="006F39D1">
              <w:t xml:space="preserve"> </w:t>
            </w:r>
            <w:r w:rsidR="006F39D1" w:rsidRPr="006F39D1">
              <w:rPr>
                <w:rFonts w:ascii="Times New Roman" w:hAnsi="Times New Roman"/>
                <w:sz w:val="20"/>
                <w:szCs w:val="20"/>
                <w:lang w:val="en-GB"/>
              </w:rPr>
              <w:t>regarding</w:t>
            </w:r>
            <w:proofErr w:type="gramEnd"/>
            <w:r w:rsidR="006F39D1" w:rsidRPr="006F39D1">
              <w:rPr>
                <w:rFonts w:ascii="Times New Roman" w:hAnsi="Times New Roman"/>
                <w:sz w:val="20"/>
                <w:szCs w:val="20"/>
                <w:lang w:val="en-GB"/>
              </w:rPr>
              <w:t xml:space="preserve">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r w:rsidR="006F39D1">
              <w:rPr>
                <w:rFonts w:ascii="Times New Roman" w:hAnsi="Times New Roman"/>
                <w:sz w:val="20"/>
                <w:szCs w:val="20"/>
                <w:lang w:val="en-GB"/>
              </w:rPr>
              <w:t xml:space="preserve"> The data </w:t>
            </w:r>
            <w:proofErr w:type="gramStart"/>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w:t>
            </w:r>
            <w:proofErr w:type="gramEnd"/>
            <w:r w:rsidR="006F39D1">
              <w:rPr>
                <w:rFonts w:ascii="Times New Roman" w:hAnsi="Times New Roman"/>
                <w:sz w:val="20"/>
                <w:szCs w:val="20"/>
                <w:lang w:val="en-GB"/>
              </w:rPr>
              <w:t xml:space="preserv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17E49431"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shall be </w:t>
            </w:r>
            <w:r w:rsidR="00D25B48">
              <w:rPr>
                <w:rFonts w:ascii="Times New Roman" w:hAnsi="Times New Roman"/>
                <w:sz w:val="20"/>
                <w:szCs w:val="20"/>
                <w:lang w:val="en-GB"/>
              </w:rPr>
              <w:t>checked</w:t>
            </w:r>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37D5EDC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62144B34" w:rsidR="00AB5BFD" w:rsidRPr="000F153F" w:rsidRDefault="002A731A" w:rsidP="002A731A">
            <w:pPr>
              <w:spacing w:after="0" w:line="240" w:lineRule="auto"/>
              <w:jc w:val="both"/>
              <w:rPr>
                <w:rFonts w:ascii="Times New Roman" w:hAnsi="Times New Roman"/>
                <w:lang w:val="en-GB" w:eastAsia="lt-LT"/>
              </w:rPr>
            </w:pPr>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23BECC61"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on the basis of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525FDB41"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proofErr w:type="spellStart"/>
      <w:r w:rsidR="001D411E" w:rsidRPr="00A977FE">
        <w:rPr>
          <w:rFonts w:ascii="Times New Roman" w:hAnsi="Times New Roman"/>
          <w:b/>
        </w:rPr>
        <w:t>evaluation</w:t>
      </w:r>
      <w:proofErr w:type="spellEnd"/>
      <w:r w:rsidR="001D411E" w:rsidRPr="00A977FE">
        <w:rPr>
          <w:rFonts w:ascii="Times New Roman" w:hAnsi="Times New Roman"/>
          <w:b/>
        </w:rPr>
        <w:t xml:space="preserve">: </w:t>
      </w:r>
      <w:proofErr w:type="spellStart"/>
      <w:r w:rsidR="001D411E" w:rsidRPr="00A977FE">
        <w:rPr>
          <w:rFonts w:ascii="Times New Roman" w:hAnsi="Times New Roman"/>
          <w:bCs/>
        </w:rPr>
        <w:t>Positive</w:t>
      </w:r>
      <w:proofErr w:type="spellEnd"/>
      <w:r w:rsidR="001D411E" w:rsidRPr="00A977FE">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AE4E5E">
        <w:rPr>
          <w:rFonts w:ascii="Times New Roman" w:hAnsi="Times New Roman"/>
        </w:rPr>
      </w:r>
      <w:r w:rsidR="00AE4E5E">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roofErr w:type="spellStart"/>
      <w:r w:rsidR="001D411E" w:rsidRPr="003B29F3">
        <w:rPr>
          <w:rFonts w:ascii="Times New Roman" w:hAnsi="Times New Roman"/>
          <w:bCs/>
        </w:rPr>
        <w:t>Negative</w:t>
      </w:r>
      <w:proofErr w:type="spellEnd"/>
      <w:r w:rsidR="001D411E" w:rsidRPr="003B29F3">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AE4E5E">
        <w:rPr>
          <w:rFonts w:ascii="Times New Roman" w:hAnsi="Times New Roman"/>
        </w:rPr>
      </w:r>
      <w:r w:rsidR="00AE4E5E">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proofErr w:type="spellStart"/>
      <w:r w:rsidRPr="003B29F3">
        <w:rPr>
          <w:rFonts w:ascii="Times New Roman" w:hAnsi="Times New Roman"/>
          <w:bCs/>
        </w:rPr>
        <w:t>Date</w:t>
      </w:r>
      <w:proofErr w:type="spellEnd"/>
      <w:r w:rsidRPr="003B29F3">
        <w:rPr>
          <w:rFonts w:ascii="Times New Roman" w:hAnsi="Times New Roman"/>
          <w:bCs/>
        </w:rPr>
        <w:t xml:space="preserve"> </w:t>
      </w:r>
      <w:proofErr w:type="spellStart"/>
      <w:r w:rsidRPr="003B29F3">
        <w:rPr>
          <w:rFonts w:ascii="Times New Roman" w:hAnsi="Times New Roman"/>
          <w:bCs/>
        </w:rPr>
        <w:t>of</w:t>
      </w:r>
      <w:proofErr w:type="spellEnd"/>
      <w:r w:rsidRPr="003B29F3">
        <w:rPr>
          <w:rFonts w:ascii="Times New Roman" w:hAnsi="Times New Roman"/>
          <w:bCs/>
        </w:rPr>
        <w:t xml:space="preserve"> </w:t>
      </w:r>
      <w:proofErr w:type="spellStart"/>
      <w:r w:rsidRPr="003B29F3">
        <w:rPr>
          <w:rFonts w:ascii="Times New Roman" w:hAnsi="Times New Roman"/>
          <w:bCs/>
        </w:rPr>
        <w:t>evaluation</w:t>
      </w:r>
      <w:proofErr w:type="spellEnd"/>
      <w:r w:rsidRPr="003B29F3">
        <w:rPr>
          <w:rFonts w:ascii="Times New Roman" w:hAnsi="Times New Roman"/>
          <w:bCs/>
        </w:rPr>
        <w:t xml:space="preserve"> </w:t>
      </w:r>
    </w:p>
    <w:p w14:paraId="586741B7" w14:textId="77777777" w:rsidR="001D411E" w:rsidRPr="000F153F" w:rsidRDefault="001D411E" w:rsidP="00983693">
      <w:pPr>
        <w:rPr>
          <w:lang w:val="en-GB"/>
        </w:rPr>
      </w:pPr>
    </w:p>
    <w:sectPr w:rsidR="001D411E" w:rsidRPr="000F153F" w:rsidSect="00190CE8">
      <w:headerReference w:type="default" r:id="rId8"/>
      <w:endnotePr>
        <w:numFmt w:val="chicago"/>
      </w:endnotePr>
      <w:pgSz w:w="16838" w:h="11906" w:orient="landscape"/>
      <w:pgMar w:top="568" w:right="6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D0B8" w14:textId="77777777" w:rsidR="009A758B" w:rsidRDefault="009A758B" w:rsidP="00A56DB0">
      <w:pPr>
        <w:spacing w:after="0" w:line="240" w:lineRule="auto"/>
      </w:pPr>
      <w:r>
        <w:separator/>
      </w:r>
    </w:p>
  </w:endnote>
  <w:endnote w:type="continuationSeparator" w:id="0">
    <w:p w14:paraId="4AF5B540" w14:textId="77777777" w:rsidR="009A758B" w:rsidRDefault="009A758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AA01" w14:textId="77777777" w:rsidR="009A758B" w:rsidRDefault="009A758B" w:rsidP="00A56DB0">
      <w:pPr>
        <w:spacing w:after="0" w:line="240" w:lineRule="auto"/>
      </w:pPr>
      <w:r>
        <w:separator/>
      </w:r>
    </w:p>
  </w:footnote>
  <w:footnote w:type="continuationSeparator" w:id="0">
    <w:p w14:paraId="64C4A487" w14:textId="77777777" w:rsidR="009A758B" w:rsidRDefault="009A758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4AF04D5" w:rsidR="00E57066" w:rsidRDefault="00E57066" w:rsidP="00A56DB0">
    <w:pPr>
      <w:pStyle w:val="Header"/>
      <w:jc w:val="center"/>
    </w:pPr>
    <w:r>
      <w:fldChar w:fldCharType="begin"/>
    </w:r>
    <w:r>
      <w:instrText>PAGE   \* MERGEFORMAT</w:instrText>
    </w:r>
    <w:r>
      <w:fldChar w:fldCharType="separate"/>
    </w:r>
    <w:r w:rsidR="00AE4E5E">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200445"/>
    <w:rsid w:val="00206467"/>
    <w:rsid w:val="00207F02"/>
    <w:rsid w:val="00210681"/>
    <w:rsid w:val="0021417F"/>
    <w:rsid w:val="0023168B"/>
    <w:rsid w:val="00240F08"/>
    <w:rsid w:val="0025004E"/>
    <w:rsid w:val="00256D07"/>
    <w:rsid w:val="00262531"/>
    <w:rsid w:val="00270227"/>
    <w:rsid w:val="00275D1C"/>
    <w:rsid w:val="00282480"/>
    <w:rsid w:val="00291EF3"/>
    <w:rsid w:val="00297D75"/>
    <w:rsid w:val="002A731A"/>
    <w:rsid w:val="002B2C25"/>
    <w:rsid w:val="002C6C59"/>
    <w:rsid w:val="002C752A"/>
    <w:rsid w:val="002E02A1"/>
    <w:rsid w:val="002F2A2E"/>
    <w:rsid w:val="0030123C"/>
    <w:rsid w:val="0033106E"/>
    <w:rsid w:val="0034045F"/>
    <w:rsid w:val="00354478"/>
    <w:rsid w:val="0036509A"/>
    <w:rsid w:val="003755AA"/>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E0BE1"/>
    <w:rsid w:val="007E5BA9"/>
    <w:rsid w:val="007E7950"/>
    <w:rsid w:val="007F105F"/>
    <w:rsid w:val="007F2655"/>
    <w:rsid w:val="00801CFB"/>
    <w:rsid w:val="00802984"/>
    <w:rsid w:val="00805D12"/>
    <w:rsid w:val="00842FFF"/>
    <w:rsid w:val="008508F5"/>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3280"/>
    <w:rsid w:val="009379FA"/>
    <w:rsid w:val="009550BD"/>
    <w:rsid w:val="00983693"/>
    <w:rsid w:val="00983A6A"/>
    <w:rsid w:val="00995216"/>
    <w:rsid w:val="009A758B"/>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5D9B"/>
    <w:rsid w:val="00A96825"/>
    <w:rsid w:val="00A977FE"/>
    <w:rsid w:val="00AB5BFD"/>
    <w:rsid w:val="00AE1C08"/>
    <w:rsid w:val="00AE4E5E"/>
    <w:rsid w:val="00AE6AFB"/>
    <w:rsid w:val="00AF0277"/>
    <w:rsid w:val="00AF1883"/>
    <w:rsid w:val="00B23BB5"/>
    <w:rsid w:val="00B34B6C"/>
    <w:rsid w:val="00B55B29"/>
    <w:rsid w:val="00B836D8"/>
    <w:rsid w:val="00B838BE"/>
    <w:rsid w:val="00B92386"/>
    <w:rsid w:val="00BA30D4"/>
    <w:rsid w:val="00BA51A7"/>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6B56"/>
    <w:rsid w:val="00C94F26"/>
    <w:rsid w:val="00C9748F"/>
    <w:rsid w:val="00CA05B9"/>
    <w:rsid w:val="00CA600A"/>
    <w:rsid w:val="00CB3CCB"/>
    <w:rsid w:val="00CB3F6E"/>
    <w:rsid w:val="00CB687F"/>
    <w:rsid w:val="00CB70E9"/>
    <w:rsid w:val="00CC55E6"/>
    <w:rsid w:val="00CD0BF5"/>
    <w:rsid w:val="00CD0E18"/>
    <w:rsid w:val="00CD4899"/>
    <w:rsid w:val="00CD7CC8"/>
    <w:rsid w:val="00CE19CA"/>
    <w:rsid w:val="00CF7CAA"/>
    <w:rsid w:val="00D24A7C"/>
    <w:rsid w:val="00D25B48"/>
    <w:rsid w:val="00D2764F"/>
    <w:rsid w:val="00D30764"/>
    <w:rsid w:val="00D376B9"/>
    <w:rsid w:val="00D50F78"/>
    <w:rsid w:val="00D51498"/>
    <w:rsid w:val="00D51F4C"/>
    <w:rsid w:val="00D60AB9"/>
    <w:rsid w:val="00D7267E"/>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738"/>
    <w:rsid w:val="00F95D42"/>
    <w:rsid w:val="00FA36AB"/>
    <w:rsid w:val="00FB2FE1"/>
    <w:rsid w:val="00FB3B53"/>
    <w:rsid w:val="00FC64AD"/>
    <w:rsid w:val="00FD058E"/>
    <w:rsid w:val="00FD33E7"/>
    <w:rsid w:val="00FD3AE7"/>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AC35-DFD5-4670-B52D-112C3BAF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5447</Words>
  <Characters>3105</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Oksana Ščerbickienė</cp:lastModifiedBy>
  <cp:revision>5</cp:revision>
  <cp:lastPrinted>2017-07-28T07:03:00Z</cp:lastPrinted>
  <dcterms:created xsi:type="dcterms:W3CDTF">2019-12-13T15:29:00Z</dcterms:created>
  <dcterms:modified xsi:type="dcterms:W3CDTF">2019-12-16T07:31:00Z</dcterms:modified>
</cp:coreProperties>
</file>