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9B73" w14:textId="77777777" w:rsidR="00AD6D18" w:rsidRDefault="00173B00" w:rsidP="00BA4121">
      <w:pPr>
        <w:spacing w:after="0" w:line="240" w:lineRule="auto"/>
        <w:ind w:left="8647"/>
        <w:jc w:val="both"/>
        <w:rPr>
          <w:bCs/>
          <w:sz w:val="20"/>
          <w:szCs w:val="20"/>
          <w:lang w:val="en-GB"/>
        </w:rPr>
      </w:pPr>
      <w:r w:rsidRPr="005A4707">
        <w:rPr>
          <w:bCs/>
          <w:sz w:val="20"/>
          <w:szCs w:val="20"/>
          <w:lang w:val="en-GB"/>
        </w:rPr>
        <w:t xml:space="preserve">Annex No </w:t>
      </w:r>
      <w:r w:rsidR="00F37C46" w:rsidRPr="005A4707">
        <w:rPr>
          <w:bCs/>
          <w:sz w:val="20"/>
          <w:szCs w:val="20"/>
          <w:lang w:val="en-GB"/>
        </w:rPr>
        <w:t>5</w:t>
      </w:r>
    </w:p>
    <w:p w14:paraId="2F07EDC4" w14:textId="257A5A73" w:rsidR="00173B00" w:rsidRPr="005A4707" w:rsidRDefault="00173B00" w:rsidP="00BA4121">
      <w:pPr>
        <w:spacing w:after="0" w:line="240" w:lineRule="auto"/>
        <w:ind w:left="8647"/>
        <w:jc w:val="both"/>
        <w:rPr>
          <w:bCs/>
          <w:sz w:val="20"/>
          <w:szCs w:val="20"/>
          <w:lang w:val="en-GB"/>
        </w:rPr>
      </w:pPr>
      <w:r w:rsidRPr="005A4707">
        <w:rPr>
          <w:bCs/>
          <w:sz w:val="20"/>
          <w:szCs w:val="20"/>
          <w:lang w:val="en-GB"/>
        </w:rPr>
        <w:t>to the Guidelines for applicants of the open call “</w:t>
      </w:r>
      <w:r w:rsidR="00F37C46" w:rsidRPr="005A4707">
        <w:rPr>
          <w:bCs/>
          <w:sz w:val="20"/>
          <w:szCs w:val="20"/>
          <w:lang w:val="en-GB"/>
        </w:rPr>
        <w:t xml:space="preserve">Provision of Health Offices in Pre-schools and Schools with Methodological Tools </w:t>
      </w:r>
      <w:r w:rsidRPr="005A4707">
        <w:rPr>
          <w:bCs/>
          <w:sz w:val="20"/>
          <w:szCs w:val="20"/>
          <w:lang w:val="en-GB"/>
        </w:rPr>
        <w:t>” under the EEA financial mechanism programme “</w:t>
      </w:r>
      <w:r w:rsidR="00F37C46" w:rsidRPr="005A4707">
        <w:rPr>
          <w:bCs/>
          <w:sz w:val="20"/>
          <w:szCs w:val="20"/>
          <w:lang w:val="en-GB"/>
        </w:rPr>
        <w:t>Health</w:t>
      </w:r>
      <w:r w:rsidRPr="005A4707">
        <w:rPr>
          <w:bCs/>
          <w:sz w:val="20"/>
          <w:szCs w:val="20"/>
          <w:lang w:val="en-GB"/>
        </w:rPr>
        <w:t>” 2014-2021</w:t>
      </w:r>
    </w:p>
    <w:p w14:paraId="03C49317" w14:textId="77777777" w:rsidR="00AE1427" w:rsidRPr="00173B00" w:rsidRDefault="00AE1427" w:rsidP="00173B00">
      <w:pPr>
        <w:spacing w:after="0" w:line="240" w:lineRule="auto"/>
        <w:jc w:val="right"/>
        <w:rPr>
          <w:rFonts w:ascii="Times" w:hAnsi="Times"/>
          <w:lang w:val="en-GB"/>
        </w:rPr>
      </w:pPr>
    </w:p>
    <w:p w14:paraId="57379387" w14:textId="0FEC8C6A" w:rsidR="00AE1427" w:rsidRPr="00173B00" w:rsidRDefault="00AE1427" w:rsidP="00AE1427">
      <w:pPr>
        <w:ind w:left="360"/>
        <w:contextualSpacing/>
        <w:jc w:val="center"/>
        <w:rPr>
          <w:rFonts w:ascii="Times" w:hAnsi="Times"/>
          <w:b/>
          <w:bCs/>
          <w:caps/>
        </w:rPr>
      </w:pPr>
      <w:r w:rsidRPr="00AE1427">
        <w:rPr>
          <w:rFonts w:ascii="Times" w:hAnsi="Times"/>
          <w:b/>
          <w:bCs/>
          <w:caps/>
          <w:lang w:val="en-GB"/>
        </w:rPr>
        <w:t>PROJECT BENEFIT AND QUALITY EVALUATION METHODOLOGY</w:t>
      </w:r>
    </w:p>
    <w:p w14:paraId="19FEC6B0" w14:textId="526BF45C" w:rsidR="00AE1427" w:rsidRPr="00AE1427" w:rsidRDefault="00AE1427" w:rsidP="00AE1427">
      <w:pPr>
        <w:pStyle w:val="ListParagraph"/>
        <w:numPr>
          <w:ilvl w:val="0"/>
          <w:numId w:val="35"/>
        </w:numPr>
        <w:contextualSpacing/>
        <w:rPr>
          <w:rFonts w:ascii="Times" w:hAnsi="Times"/>
          <w:b/>
        </w:rPr>
      </w:pPr>
      <w:r w:rsidRPr="00AE1427">
        <w:rPr>
          <w:rFonts w:ascii="Times" w:hAnsi="Times"/>
          <w:b/>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E1427" w:rsidRPr="00AE1427" w14:paraId="450371FD" w14:textId="77777777" w:rsidTr="008B20FE">
        <w:tc>
          <w:tcPr>
            <w:tcW w:w="4077" w:type="dxa"/>
          </w:tcPr>
          <w:p w14:paraId="5E191D96" w14:textId="5C5B7857"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C</w:t>
            </w:r>
            <w:r w:rsidRPr="00AE1427">
              <w:rPr>
                <w:rFonts w:ascii="Times" w:hAnsi="Times"/>
                <w:lang w:val="en-GB"/>
              </w:rPr>
              <w:t xml:space="preserve">ode </w:t>
            </w:r>
            <w:r>
              <w:rPr>
                <w:rFonts w:ascii="Times" w:hAnsi="Times"/>
                <w:lang w:val="en-GB"/>
              </w:rPr>
              <w:t>of t</w:t>
            </w:r>
            <w:r w:rsidR="00AE1427" w:rsidRPr="00AE1427">
              <w:rPr>
                <w:rFonts w:ascii="Times" w:hAnsi="Times"/>
                <w:lang w:val="en-GB"/>
              </w:rPr>
              <w:t xml:space="preserve">he application </w:t>
            </w:r>
          </w:p>
        </w:tc>
        <w:tc>
          <w:tcPr>
            <w:tcW w:w="10519" w:type="dxa"/>
          </w:tcPr>
          <w:p w14:paraId="0490E08F"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0DCA60F6" w14:textId="77777777" w:rsidTr="008B20FE">
        <w:tc>
          <w:tcPr>
            <w:tcW w:w="4077" w:type="dxa"/>
          </w:tcPr>
          <w:p w14:paraId="3038DEE9" w14:textId="3C248A22"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T</w:t>
            </w:r>
            <w:r w:rsidR="00AE1427" w:rsidRPr="00AE1427">
              <w:rPr>
                <w:rFonts w:ascii="Times" w:hAnsi="Times"/>
                <w:lang w:val="en-GB"/>
              </w:rPr>
              <w:t>itle of the application</w:t>
            </w:r>
          </w:p>
        </w:tc>
        <w:tc>
          <w:tcPr>
            <w:tcW w:w="10519" w:type="dxa"/>
          </w:tcPr>
          <w:p w14:paraId="10CC6EFC" w14:textId="77777777" w:rsidR="00AE1427" w:rsidRPr="00AE1427" w:rsidRDefault="00AE1427" w:rsidP="008B20FE">
            <w:pPr>
              <w:widowControl w:val="0"/>
              <w:spacing w:after="0" w:line="240" w:lineRule="auto"/>
              <w:rPr>
                <w:rFonts w:ascii="Times" w:eastAsia="Times New Roman" w:hAnsi="Times"/>
              </w:rPr>
            </w:pPr>
          </w:p>
        </w:tc>
      </w:tr>
      <w:tr w:rsidR="00AE1427" w:rsidRPr="00AE1427" w14:paraId="51419C12" w14:textId="77777777" w:rsidTr="008B20FE">
        <w:tc>
          <w:tcPr>
            <w:tcW w:w="4077" w:type="dxa"/>
          </w:tcPr>
          <w:p w14:paraId="27F685AD" w14:textId="3F93B5F4" w:rsidR="00AE1427" w:rsidRPr="00AE1427" w:rsidRDefault="00C15EE7" w:rsidP="00C15EE7">
            <w:pPr>
              <w:tabs>
                <w:tab w:val="left" w:pos="851"/>
                <w:tab w:val="left" w:pos="1701"/>
              </w:tabs>
              <w:spacing w:after="0" w:line="240" w:lineRule="auto"/>
              <w:jc w:val="both"/>
              <w:rPr>
                <w:rFonts w:ascii="Times" w:hAnsi="Times"/>
                <w:lang w:val="en-GB"/>
              </w:rPr>
            </w:pPr>
            <w:r>
              <w:rPr>
                <w:rFonts w:ascii="Times" w:hAnsi="Times"/>
                <w:lang w:val="en-GB"/>
              </w:rPr>
              <w:t xml:space="preserve">title </w:t>
            </w:r>
            <w:r w:rsidR="00AE1427" w:rsidRPr="00AE1427">
              <w:rPr>
                <w:rFonts w:ascii="Times" w:hAnsi="Times"/>
                <w:lang w:val="en-GB"/>
              </w:rPr>
              <w:t xml:space="preserve">of </w:t>
            </w:r>
            <w:r>
              <w:rPr>
                <w:rFonts w:ascii="Times" w:hAnsi="Times"/>
                <w:lang w:val="en-GB"/>
              </w:rPr>
              <w:t xml:space="preserve">the </w:t>
            </w:r>
            <w:r w:rsidR="00662823">
              <w:rPr>
                <w:rFonts w:ascii="Times" w:hAnsi="Times"/>
                <w:lang w:val="en-GB"/>
              </w:rPr>
              <w:t>A</w:t>
            </w:r>
            <w:r w:rsidR="00AE1427" w:rsidRPr="00AE1427">
              <w:rPr>
                <w:rFonts w:ascii="Times" w:hAnsi="Times"/>
                <w:lang w:val="en-GB"/>
              </w:rPr>
              <w:t>pplicant</w:t>
            </w:r>
          </w:p>
        </w:tc>
        <w:tc>
          <w:tcPr>
            <w:tcW w:w="10519" w:type="dxa"/>
          </w:tcPr>
          <w:p w14:paraId="3772FC30" w14:textId="77777777" w:rsidR="00AE1427" w:rsidRPr="00AE1427" w:rsidRDefault="00AE1427" w:rsidP="008B20FE">
            <w:pPr>
              <w:widowControl w:val="0"/>
              <w:spacing w:after="0" w:line="240" w:lineRule="auto"/>
              <w:rPr>
                <w:rFonts w:ascii="Times" w:eastAsia="Times New Roman" w:hAnsi="Times"/>
              </w:rPr>
            </w:pPr>
          </w:p>
        </w:tc>
      </w:tr>
    </w:tbl>
    <w:p w14:paraId="34155257" w14:textId="5D0D4830" w:rsidR="00A93823" w:rsidRPr="00AE1427" w:rsidRDefault="00A93823" w:rsidP="003A0B9A">
      <w:pPr>
        <w:tabs>
          <w:tab w:val="left" w:pos="0"/>
          <w:tab w:val="left" w:pos="851"/>
          <w:tab w:val="left" w:pos="1134"/>
        </w:tabs>
        <w:spacing w:after="0"/>
        <w:jc w:val="center"/>
        <w:rPr>
          <w:rFonts w:ascii="Times" w:hAnsi="Times" w:cs="Calibri"/>
          <w:b/>
          <w:bCs/>
          <w:lang w:val="en-GB"/>
        </w:rPr>
      </w:pPr>
    </w:p>
    <w:p w14:paraId="5F57AB46" w14:textId="66C02DF4" w:rsidR="0041147B" w:rsidRPr="00AE1427" w:rsidRDefault="00AE1427" w:rsidP="001317E0">
      <w:pPr>
        <w:pStyle w:val="ListParagraph"/>
        <w:numPr>
          <w:ilvl w:val="0"/>
          <w:numId w:val="35"/>
        </w:numPr>
        <w:contextualSpacing/>
        <w:rPr>
          <w:rFonts w:ascii="Times" w:hAnsi="Times"/>
          <w:b/>
        </w:rPr>
      </w:pPr>
      <w:r w:rsidRPr="00AE1427">
        <w:rPr>
          <w:rFonts w:ascii="Times" w:hAnsi="Times"/>
          <w:b/>
        </w:rPr>
        <w:t>Evaluation criteria:</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687"/>
        <w:gridCol w:w="6118"/>
        <w:gridCol w:w="1985"/>
        <w:gridCol w:w="2125"/>
      </w:tblGrid>
      <w:tr w:rsidR="006E20D8" w:rsidRPr="00A72D41" w14:paraId="1F91DA69" w14:textId="77777777" w:rsidTr="00771817">
        <w:trPr>
          <w:trHeight w:val="20"/>
          <w:tblHeader/>
          <w:jc w:val="center"/>
        </w:trPr>
        <w:tc>
          <w:tcPr>
            <w:tcW w:w="233" w:type="pct"/>
            <w:tcBorders>
              <w:bottom w:val="single" w:sz="4" w:space="0" w:color="auto"/>
            </w:tcBorders>
            <w:shd w:val="clear" w:color="auto" w:fill="auto"/>
          </w:tcPr>
          <w:p w14:paraId="7E46737F" w14:textId="5188111D" w:rsidR="006E20D8" w:rsidRPr="00A72D41" w:rsidRDefault="006E20D8" w:rsidP="00FA5DB7">
            <w:pPr>
              <w:spacing w:after="0"/>
              <w:jc w:val="center"/>
              <w:rPr>
                <w:b/>
                <w:bCs/>
                <w:lang w:val="en-GB"/>
              </w:rPr>
            </w:pPr>
            <w:r w:rsidRPr="00A72D41">
              <w:rPr>
                <w:b/>
                <w:bCs/>
                <w:lang w:val="en-GB"/>
              </w:rPr>
              <w:t>No</w:t>
            </w:r>
          </w:p>
        </w:tc>
        <w:tc>
          <w:tcPr>
            <w:tcW w:w="1263" w:type="pct"/>
            <w:tcBorders>
              <w:bottom w:val="single" w:sz="4" w:space="0" w:color="auto"/>
            </w:tcBorders>
            <w:shd w:val="clear" w:color="auto" w:fill="auto"/>
            <w:vAlign w:val="center"/>
          </w:tcPr>
          <w:p w14:paraId="6FC9D794" w14:textId="77777777" w:rsidR="006E20D8" w:rsidRPr="00A72D41" w:rsidRDefault="006E20D8" w:rsidP="00FA5DB7">
            <w:pPr>
              <w:spacing w:after="0" w:line="240" w:lineRule="auto"/>
              <w:jc w:val="center"/>
              <w:rPr>
                <w:b/>
                <w:bCs/>
                <w:lang w:val="en-GB"/>
              </w:rPr>
            </w:pPr>
            <w:r w:rsidRPr="00A72D41">
              <w:rPr>
                <w:b/>
                <w:lang w:val="en-GB"/>
              </w:rPr>
              <w:t>Criterion</w:t>
            </w:r>
            <w:bookmarkStart w:id="0" w:name="_GoBack"/>
            <w:bookmarkEnd w:id="0"/>
          </w:p>
        </w:tc>
        <w:tc>
          <w:tcPr>
            <w:tcW w:w="2096" w:type="pct"/>
            <w:tcBorders>
              <w:bottom w:val="single" w:sz="4" w:space="0" w:color="auto"/>
            </w:tcBorders>
            <w:shd w:val="clear" w:color="auto" w:fill="auto"/>
            <w:vAlign w:val="center"/>
          </w:tcPr>
          <w:p w14:paraId="2D604021" w14:textId="77777777" w:rsidR="006E20D8" w:rsidRPr="00A72D41" w:rsidRDefault="006E20D8" w:rsidP="00FA5DB7">
            <w:pPr>
              <w:spacing w:after="0"/>
              <w:jc w:val="center"/>
              <w:rPr>
                <w:b/>
                <w:bCs/>
                <w:lang w:val="en-GB"/>
              </w:rPr>
            </w:pPr>
            <w:r w:rsidRPr="00A72D41">
              <w:rPr>
                <w:b/>
                <w:bCs/>
                <w:lang w:val="en-GB"/>
              </w:rPr>
              <w:t>Key aspects of evaluation and the evaluation scale</w:t>
            </w:r>
          </w:p>
        </w:tc>
        <w:tc>
          <w:tcPr>
            <w:tcW w:w="680" w:type="pct"/>
            <w:tcBorders>
              <w:bottom w:val="single" w:sz="4" w:space="0" w:color="auto"/>
            </w:tcBorders>
            <w:shd w:val="clear" w:color="auto" w:fill="auto"/>
            <w:vAlign w:val="center"/>
          </w:tcPr>
          <w:p w14:paraId="6088F319" w14:textId="7AE3EA8B" w:rsidR="006E20D8" w:rsidRPr="00A72D41" w:rsidRDefault="006E20D8" w:rsidP="006E20D8">
            <w:pPr>
              <w:spacing w:after="0"/>
              <w:jc w:val="center"/>
              <w:rPr>
                <w:b/>
                <w:bCs/>
                <w:lang w:val="en-GB"/>
              </w:rPr>
            </w:pPr>
            <w:r w:rsidRPr="00A72D41">
              <w:rPr>
                <w:b/>
                <w:bCs/>
                <w:lang w:val="en-GB"/>
              </w:rPr>
              <w:t>Score given by the evaluat</w:t>
            </w:r>
            <w:r>
              <w:rPr>
                <w:b/>
                <w:bCs/>
                <w:lang w:val="en-GB"/>
              </w:rPr>
              <w:t>or</w:t>
            </w:r>
          </w:p>
        </w:tc>
        <w:tc>
          <w:tcPr>
            <w:tcW w:w="728" w:type="pct"/>
            <w:tcBorders>
              <w:bottom w:val="single" w:sz="4" w:space="0" w:color="auto"/>
            </w:tcBorders>
            <w:shd w:val="clear" w:color="auto" w:fill="auto"/>
            <w:vAlign w:val="center"/>
          </w:tcPr>
          <w:p w14:paraId="00E3005F" w14:textId="77777777" w:rsidR="006E20D8" w:rsidRPr="00A72D41" w:rsidRDefault="006E20D8" w:rsidP="00FA5DB7">
            <w:pPr>
              <w:spacing w:after="0"/>
              <w:jc w:val="center"/>
              <w:rPr>
                <w:b/>
                <w:bCs/>
                <w:lang w:val="en-GB"/>
              </w:rPr>
            </w:pPr>
            <w:r w:rsidRPr="00A72D41">
              <w:rPr>
                <w:b/>
                <w:bCs/>
                <w:lang w:val="en-GB"/>
              </w:rPr>
              <w:t>Information source</w:t>
            </w:r>
          </w:p>
        </w:tc>
      </w:tr>
      <w:tr w:rsidR="006E20D8" w:rsidRPr="00A72D41" w14:paraId="624406A8" w14:textId="77777777" w:rsidTr="00771817">
        <w:trPr>
          <w:trHeight w:val="20"/>
          <w:jc w:val="center"/>
        </w:trPr>
        <w:tc>
          <w:tcPr>
            <w:tcW w:w="233" w:type="pct"/>
            <w:tcBorders>
              <w:bottom w:val="single" w:sz="4" w:space="0" w:color="auto"/>
            </w:tcBorders>
            <w:shd w:val="clear" w:color="auto" w:fill="auto"/>
          </w:tcPr>
          <w:p w14:paraId="3974B3D4" w14:textId="77777777" w:rsidR="006E20D8" w:rsidRPr="00A72D41" w:rsidRDefault="006E20D8" w:rsidP="00FA5DB7">
            <w:pPr>
              <w:spacing w:after="0"/>
              <w:jc w:val="center"/>
              <w:rPr>
                <w:b/>
                <w:bCs/>
                <w:lang w:val="en-GB"/>
              </w:rPr>
            </w:pPr>
          </w:p>
        </w:tc>
        <w:tc>
          <w:tcPr>
            <w:tcW w:w="1263" w:type="pct"/>
            <w:tcBorders>
              <w:bottom w:val="single" w:sz="4" w:space="0" w:color="auto"/>
            </w:tcBorders>
            <w:shd w:val="clear" w:color="auto" w:fill="auto"/>
          </w:tcPr>
          <w:p w14:paraId="4D23AE82" w14:textId="77777777" w:rsidR="006E20D8" w:rsidRPr="00A72D41" w:rsidRDefault="006E20D8" w:rsidP="00FA5DB7">
            <w:pPr>
              <w:spacing w:after="0"/>
              <w:rPr>
                <w:b/>
                <w:bCs/>
                <w:lang w:val="en-GB"/>
              </w:rPr>
            </w:pPr>
          </w:p>
        </w:tc>
        <w:tc>
          <w:tcPr>
            <w:tcW w:w="2096" w:type="pct"/>
            <w:tcBorders>
              <w:bottom w:val="single" w:sz="4" w:space="0" w:color="auto"/>
            </w:tcBorders>
            <w:shd w:val="clear" w:color="auto" w:fill="auto"/>
          </w:tcPr>
          <w:p w14:paraId="6CEA9554" w14:textId="77777777" w:rsidR="006E20D8" w:rsidRPr="00A72D41" w:rsidRDefault="006E20D8" w:rsidP="00FA5DB7">
            <w:pPr>
              <w:spacing w:after="0"/>
              <w:jc w:val="center"/>
              <w:rPr>
                <w:b/>
                <w:bCs/>
                <w:lang w:val="en-GB"/>
              </w:rPr>
            </w:pPr>
            <w:r w:rsidRPr="00A72D41">
              <w:rPr>
                <w:b/>
                <w:bCs/>
                <w:lang w:val="en-GB"/>
              </w:rPr>
              <w:t>The maximum score that can be given*</w:t>
            </w:r>
          </w:p>
        </w:tc>
        <w:tc>
          <w:tcPr>
            <w:tcW w:w="680" w:type="pct"/>
            <w:tcBorders>
              <w:bottom w:val="single" w:sz="4" w:space="0" w:color="auto"/>
            </w:tcBorders>
            <w:shd w:val="clear" w:color="auto" w:fill="auto"/>
          </w:tcPr>
          <w:p w14:paraId="7E6FAB20" w14:textId="77777777" w:rsidR="006E20D8" w:rsidRPr="00A72D41" w:rsidRDefault="006E20D8" w:rsidP="00FA5DB7">
            <w:pPr>
              <w:spacing w:after="0"/>
              <w:jc w:val="center"/>
              <w:rPr>
                <w:b/>
                <w:bCs/>
                <w:color w:val="FFFFFF"/>
                <w:lang w:val="en-GB"/>
              </w:rPr>
            </w:pPr>
          </w:p>
        </w:tc>
        <w:tc>
          <w:tcPr>
            <w:tcW w:w="728" w:type="pct"/>
            <w:tcBorders>
              <w:bottom w:val="single" w:sz="4" w:space="0" w:color="auto"/>
            </w:tcBorders>
            <w:shd w:val="clear" w:color="auto" w:fill="auto"/>
          </w:tcPr>
          <w:p w14:paraId="1D04F552" w14:textId="77777777" w:rsidR="006E20D8" w:rsidRPr="00A72D41" w:rsidRDefault="006E20D8" w:rsidP="00FA5DB7">
            <w:pPr>
              <w:spacing w:after="0"/>
              <w:jc w:val="center"/>
              <w:rPr>
                <w:b/>
                <w:bCs/>
                <w:color w:val="FFFFFF"/>
                <w:lang w:val="en-GB"/>
              </w:rPr>
            </w:pPr>
          </w:p>
        </w:tc>
      </w:tr>
      <w:tr w:rsidR="006E20D8" w:rsidRPr="00A72D41" w14:paraId="0380F2CB" w14:textId="77777777" w:rsidTr="00771817">
        <w:trPr>
          <w:trHeight w:val="20"/>
          <w:jc w:val="center"/>
        </w:trPr>
        <w:tc>
          <w:tcPr>
            <w:tcW w:w="233" w:type="pct"/>
            <w:tcBorders>
              <w:bottom w:val="single" w:sz="4" w:space="0" w:color="auto"/>
            </w:tcBorders>
            <w:shd w:val="clear" w:color="auto" w:fill="auto"/>
          </w:tcPr>
          <w:p w14:paraId="66C039E3" w14:textId="77777777" w:rsidR="006E20D8" w:rsidRPr="00A72D41" w:rsidRDefault="006E20D8" w:rsidP="00FA5DB7">
            <w:pPr>
              <w:spacing w:after="0"/>
              <w:jc w:val="center"/>
              <w:rPr>
                <w:b/>
                <w:bCs/>
                <w:color w:val="FFFFFF"/>
                <w:lang w:val="en-GB"/>
              </w:rPr>
            </w:pPr>
            <w:r w:rsidRPr="00A72D41">
              <w:rPr>
                <w:lang w:val="en-GB"/>
              </w:rPr>
              <w:t>1.</w:t>
            </w:r>
          </w:p>
        </w:tc>
        <w:tc>
          <w:tcPr>
            <w:tcW w:w="1263" w:type="pct"/>
            <w:tcBorders>
              <w:bottom w:val="single" w:sz="4" w:space="0" w:color="auto"/>
            </w:tcBorders>
            <w:shd w:val="clear" w:color="auto" w:fill="auto"/>
          </w:tcPr>
          <w:p w14:paraId="7779B804" w14:textId="77777777" w:rsidR="006E20D8" w:rsidRPr="00A72D41" w:rsidRDefault="006E20D8" w:rsidP="00FA5DB7">
            <w:pPr>
              <w:spacing w:after="0"/>
              <w:rPr>
                <w:b/>
                <w:bCs/>
                <w:color w:val="FFFFFF"/>
                <w:lang w:val="en-GB"/>
              </w:rPr>
            </w:pPr>
            <w:r w:rsidRPr="00A72D41">
              <w:rPr>
                <w:lang w:val="en-GB"/>
              </w:rPr>
              <w:t>The Projects are implemented in weak areas and in areas which are characterized by a set of social indicators of moderate weakness.</w:t>
            </w:r>
            <w:r w:rsidRPr="00A72D41">
              <w:rPr>
                <w:vertAlign w:val="superscript"/>
                <w:lang w:val="en-GB"/>
              </w:rPr>
              <w:t>1</w:t>
            </w:r>
          </w:p>
        </w:tc>
        <w:tc>
          <w:tcPr>
            <w:tcW w:w="2096" w:type="pct"/>
            <w:tcBorders>
              <w:bottom w:val="single" w:sz="4" w:space="0" w:color="auto"/>
            </w:tcBorders>
            <w:shd w:val="clear" w:color="auto" w:fill="auto"/>
          </w:tcPr>
          <w:p w14:paraId="139569A4" w14:textId="77777777" w:rsidR="006E20D8" w:rsidRPr="00A72D41" w:rsidRDefault="006E20D8" w:rsidP="00FA5DB7">
            <w:pPr>
              <w:widowControl w:val="0"/>
              <w:tabs>
                <w:tab w:val="center" w:pos="4819"/>
                <w:tab w:val="right" w:pos="9638"/>
              </w:tabs>
              <w:spacing w:after="0" w:line="240" w:lineRule="auto"/>
              <w:jc w:val="both"/>
              <w:rPr>
                <w:lang w:val="en-GB"/>
              </w:rPr>
            </w:pPr>
            <w:r w:rsidRPr="00A72D41">
              <w:rPr>
                <w:lang w:val="en-GB"/>
              </w:rPr>
              <w:t>Percentage of the health offices from weak and moderately weak areas, that are included in the Project application, of the total number of offices included in the application:</w:t>
            </w:r>
          </w:p>
          <w:p w14:paraId="6602798A" w14:textId="7164895E" w:rsidR="006E20D8" w:rsidRPr="00A72D41" w:rsidRDefault="006E20D8" w:rsidP="00FA5DB7">
            <w:pPr>
              <w:spacing w:after="0" w:line="240" w:lineRule="auto"/>
              <w:ind w:firstLine="340"/>
              <w:jc w:val="both"/>
              <w:rPr>
                <w:i/>
                <w:iCs/>
                <w:lang w:val="en-GB"/>
              </w:rPr>
            </w:pPr>
            <w:r w:rsidRPr="00A72D41">
              <w:rPr>
                <w:i/>
                <w:iCs/>
                <w:lang w:val="en-GB"/>
              </w:rPr>
              <w:t xml:space="preserve">35 points – if 30 % and more of the offices are registered in a </w:t>
            </w:r>
            <w:r w:rsidRPr="00A72D41">
              <w:rPr>
                <w:i/>
                <w:lang w:val="en-GB"/>
              </w:rPr>
              <w:t>weak and</w:t>
            </w:r>
            <w:r>
              <w:rPr>
                <w:i/>
                <w:lang w:val="en-GB"/>
              </w:rPr>
              <w:t xml:space="preserve"> (or)</w:t>
            </w:r>
            <w:r w:rsidRPr="00A72D41">
              <w:rPr>
                <w:i/>
                <w:lang w:val="en-GB"/>
              </w:rPr>
              <w:t xml:space="preserve"> moderately weak area</w:t>
            </w:r>
            <w:r w:rsidRPr="00A72D41">
              <w:rPr>
                <w:i/>
                <w:iCs/>
                <w:lang w:val="en-GB"/>
              </w:rPr>
              <w:t xml:space="preserve"> </w:t>
            </w:r>
          </w:p>
          <w:p w14:paraId="07FD8F7C" w14:textId="798ED3AF" w:rsidR="006E20D8" w:rsidRPr="00A72D41" w:rsidRDefault="006E20D8" w:rsidP="00FA5DB7">
            <w:pPr>
              <w:spacing w:after="0" w:line="240" w:lineRule="auto"/>
              <w:ind w:firstLine="340"/>
              <w:jc w:val="both"/>
              <w:rPr>
                <w:i/>
                <w:iCs/>
                <w:lang w:val="en-GB"/>
              </w:rPr>
            </w:pPr>
            <w:r w:rsidRPr="00A72D41">
              <w:rPr>
                <w:i/>
                <w:iCs/>
                <w:lang w:val="en-GB"/>
              </w:rPr>
              <w:t xml:space="preserve">25 points – if 10-29 % of the offices are registered in a </w:t>
            </w:r>
            <w:r w:rsidRPr="00A72D41">
              <w:rPr>
                <w:i/>
                <w:lang w:val="en-GB"/>
              </w:rPr>
              <w:t>weak and</w:t>
            </w:r>
            <w:r>
              <w:rPr>
                <w:i/>
                <w:lang w:val="en-GB"/>
              </w:rPr>
              <w:t xml:space="preserve"> (or)</w:t>
            </w:r>
            <w:r w:rsidRPr="00A72D41">
              <w:rPr>
                <w:i/>
                <w:lang w:val="en-GB"/>
              </w:rPr>
              <w:t xml:space="preserve"> moderately weak area; </w:t>
            </w:r>
          </w:p>
          <w:p w14:paraId="25762E30" w14:textId="04B93C2D" w:rsidR="006E20D8" w:rsidRPr="00A72D41" w:rsidRDefault="006E20D8" w:rsidP="00FA5DB7">
            <w:pPr>
              <w:spacing w:after="0" w:line="240" w:lineRule="auto"/>
              <w:ind w:firstLine="340"/>
              <w:jc w:val="both"/>
              <w:rPr>
                <w:i/>
                <w:iCs/>
                <w:lang w:val="en-GB"/>
              </w:rPr>
            </w:pPr>
            <w:r w:rsidRPr="00A72D41">
              <w:rPr>
                <w:i/>
                <w:iCs/>
                <w:lang w:val="en-GB"/>
              </w:rPr>
              <w:t xml:space="preserve">15 points – if 5-9 % of the offices are registered in a </w:t>
            </w:r>
            <w:r w:rsidRPr="00A72D41">
              <w:rPr>
                <w:i/>
                <w:lang w:val="en-GB"/>
              </w:rPr>
              <w:t>weak and</w:t>
            </w:r>
            <w:r>
              <w:rPr>
                <w:i/>
                <w:lang w:val="en-GB"/>
              </w:rPr>
              <w:t xml:space="preserve"> (or)</w:t>
            </w:r>
            <w:r w:rsidRPr="00A72D41">
              <w:rPr>
                <w:i/>
                <w:lang w:val="en-GB"/>
              </w:rPr>
              <w:t xml:space="preserve"> moderately weak area. </w:t>
            </w:r>
          </w:p>
          <w:p w14:paraId="41D6AC5F" w14:textId="77777777" w:rsidR="006E20D8" w:rsidRPr="00A72D41" w:rsidRDefault="006E20D8" w:rsidP="00FA5DB7">
            <w:pPr>
              <w:spacing w:after="0" w:line="240" w:lineRule="auto"/>
              <w:ind w:firstLine="340"/>
              <w:jc w:val="both"/>
              <w:rPr>
                <w:b/>
                <w:bCs/>
                <w:lang w:val="en-GB"/>
              </w:rPr>
            </w:pPr>
          </w:p>
        </w:tc>
        <w:tc>
          <w:tcPr>
            <w:tcW w:w="680" w:type="pct"/>
            <w:tcBorders>
              <w:bottom w:val="single" w:sz="4" w:space="0" w:color="auto"/>
            </w:tcBorders>
            <w:shd w:val="clear" w:color="auto" w:fill="auto"/>
          </w:tcPr>
          <w:p w14:paraId="639F968B" w14:textId="77777777" w:rsidR="006E20D8" w:rsidRPr="00A72D41" w:rsidRDefault="006E20D8" w:rsidP="00FA5DB7">
            <w:pPr>
              <w:spacing w:after="0" w:line="240" w:lineRule="auto"/>
              <w:rPr>
                <w:lang w:val="en-GB"/>
              </w:rPr>
            </w:pPr>
          </w:p>
          <w:p w14:paraId="7C5F511F" w14:textId="77777777" w:rsidR="006E20D8" w:rsidRPr="00A72D41" w:rsidRDefault="006E20D8" w:rsidP="00FA5DB7">
            <w:pPr>
              <w:spacing w:after="0"/>
              <w:jc w:val="center"/>
              <w:rPr>
                <w:b/>
                <w:bCs/>
                <w:color w:val="FFFFFF"/>
                <w:lang w:val="en-GB"/>
              </w:rPr>
            </w:pPr>
          </w:p>
        </w:tc>
        <w:tc>
          <w:tcPr>
            <w:tcW w:w="728" w:type="pct"/>
            <w:tcBorders>
              <w:bottom w:val="single" w:sz="4" w:space="0" w:color="auto"/>
            </w:tcBorders>
            <w:shd w:val="clear" w:color="auto" w:fill="auto"/>
          </w:tcPr>
          <w:p w14:paraId="6FB8116A" w14:textId="77777777" w:rsidR="006E20D8" w:rsidRPr="00A72D41" w:rsidRDefault="006E20D8" w:rsidP="00FA5DB7">
            <w:pPr>
              <w:spacing w:after="0" w:line="240" w:lineRule="auto"/>
              <w:rPr>
                <w:lang w:val="en-GB"/>
              </w:rPr>
            </w:pPr>
            <w:r w:rsidRPr="00A72D41">
              <w:rPr>
                <w:lang w:val="en-GB"/>
              </w:rPr>
              <w:t>Application</w:t>
            </w:r>
          </w:p>
        </w:tc>
      </w:tr>
      <w:tr w:rsidR="006E20D8" w:rsidRPr="00A72D41" w14:paraId="15FB7733" w14:textId="77777777" w:rsidTr="00771817">
        <w:trPr>
          <w:trHeight w:val="20"/>
          <w:jc w:val="center"/>
        </w:trPr>
        <w:tc>
          <w:tcPr>
            <w:tcW w:w="233" w:type="pct"/>
            <w:tcBorders>
              <w:bottom w:val="single" w:sz="4" w:space="0" w:color="auto"/>
            </w:tcBorders>
            <w:shd w:val="clear" w:color="auto" w:fill="auto"/>
          </w:tcPr>
          <w:p w14:paraId="04EEFCCA" w14:textId="77777777" w:rsidR="006E20D8" w:rsidRPr="00A72D41" w:rsidRDefault="006E20D8" w:rsidP="00FA5DB7">
            <w:pPr>
              <w:spacing w:after="0"/>
              <w:jc w:val="center"/>
              <w:rPr>
                <w:lang w:val="en-GB"/>
              </w:rPr>
            </w:pPr>
            <w:r w:rsidRPr="00A72D41">
              <w:rPr>
                <w:lang w:val="en-GB"/>
              </w:rPr>
              <w:t>2.</w:t>
            </w:r>
          </w:p>
        </w:tc>
        <w:tc>
          <w:tcPr>
            <w:tcW w:w="1263" w:type="pct"/>
            <w:tcBorders>
              <w:bottom w:val="single" w:sz="4" w:space="0" w:color="auto"/>
            </w:tcBorders>
            <w:shd w:val="clear" w:color="auto" w:fill="auto"/>
          </w:tcPr>
          <w:p w14:paraId="5F6476D8" w14:textId="77777777" w:rsidR="006E20D8" w:rsidRPr="00A72D41" w:rsidRDefault="006E20D8" w:rsidP="00FA5DB7">
            <w:pPr>
              <w:spacing w:after="0"/>
              <w:rPr>
                <w:lang w:val="en-GB"/>
              </w:rPr>
            </w:pPr>
            <w:r w:rsidRPr="00A72D41">
              <w:rPr>
                <w:lang w:val="en-GB"/>
              </w:rPr>
              <w:t xml:space="preserve">Provision of health offices with tools intended to strengthen mental health. </w:t>
            </w:r>
          </w:p>
        </w:tc>
        <w:tc>
          <w:tcPr>
            <w:tcW w:w="2096" w:type="pct"/>
            <w:tcBorders>
              <w:bottom w:val="single" w:sz="4" w:space="0" w:color="auto"/>
            </w:tcBorders>
            <w:shd w:val="clear" w:color="auto" w:fill="auto"/>
          </w:tcPr>
          <w:p w14:paraId="2C3035C7" w14:textId="77777777" w:rsidR="006E20D8" w:rsidRPr="00A72D41" w:rsidRDefault="006E20D8" w:rsidP="00FA5DB7">
            <w:pPr>
              <w:widowControl w:val="0"/>
              <w:tabs>
                <w:tab w:val="center" w:pos="4819"/>
                <w:tab w:val="right" w:pos="9638"/>
              </w:tabs>
              <w:spacing w:after="0" w:line="240" w:lineRule="auto"/>
              <w:jc w:val="both"/>
              <w:rPr>
                <w:lang w:val="en-GB"/>
              </w:rPr>
            </w:pPr>
            <w:r w:rsidRPr="00A72D41">
              <w:rPr>
                <w:lang w:val="en-GB"/>
              </w:rPr>
              <w:t>Percentage of the tools to promote mental health included in the Project (See the List of the Recommended tools to promote mental health) of the total number of tools that are planned to be acquired:</w:t>
            </w:r>
          </w:p>
          <w:p w14:paraId="508BF00E" w14:textId="77777777" w:rsidR="006E20D8" w:rsidRPr="00A72D41" w:rsidRDefault="006E20D8" w:rsidP="00FA5DB7">
            <w:pPr>
              <w:widowControl w:val="0"/>
              <w:tabs>
                <w:tab w:val="center" w:pos="4819"/>
                <w:tab w:val="right" w:pos="9638"/>
              </w:tabs>
              <w:spacing w:after="0" w:line="240" w:lineRule="auto"/>
              <w:jc w:val="both"/>
              <w:rPr>
                <w:lang w:val="en-GB"/>
              </w:rPr>
            </w:pPr>
          </w:p>
          <w:p w14:paraId="23851DFB" w14:textId="77777777" w:rsidR="006E20D8" w:rsidRPr="00A72D41" w:rsidRDefault="006E20D8" w:rsidP="00FA5DB7">
            <w:pPr>
              <w:spacing w:after="0" w:line="240" w:lineRule="auto"/>
              <w:ind w:firstLine="340"/>
              <w:jc w:val="both"/>
              <w:rPr>
                <w:i/>
                <w:iCs/>
                <w:lang w:val="en-GB"/>
              </w:rPr>
            </w:pPr>
            <w:r w:rsidRPr="00A72D41">
              <w:rPr>
                <w:i/>
                <w:iCs/>
                <w:lang w:val="en-GB"/>
              </w:rPr>
              <w:t xml:space="preserve">25 points – if 20% and more of the number of the tools envisaged are the tools for mental health; </w:t>
            </w:r>
          </w:p>
          <w:p w14:paraId="44DBF84E" w14:textId="77777777" w:rsidR="006E20D8" w:rsidRPr="00A72D41" w:rsidRDefault="006E20D8" w:rsidP="00FA5DB7">
            <w:pPr>
              <w:spacing w:after="0" w:line="240" w:lineRule="auto"/>
              <w:ind w:firstLine="340"/>
              <w:jc w:val="both"/>
              <w:rPr>
                <w:i/>
                <w:iCs/>
                <w:lang w:val="en-GB"/>
              </w:rPr>
            </w:pPr>
            <w:r w:rsidRPr="00A72D41">
              <w:rPr>
                <w:i/>
                <w:iCs/>
                <w:lang w:val="en-GB"/>
              </w:rPr>
              <w:t xml:space="preserve">20 points – if 16-19% of the number of the tools envisaged are the tools for mental health; </w:t>
            </w:r>
          </w:p>
          <w:p w14:paraId="45D1A52C" w14:textId="77777777" w:rsidR="006E20D8" w:rsidRPr="00A72D41" w:rsidRDefault="006E20D8" w:rsidP="00FA5DB7">
            <w:pPr>
              <w:spacing w:after="0" w:line="240" w:lineRule="auto"/>
              <w:ind w:firstLine="340"/>
              <w:jc w:val="both"/>
              <w:rPr>
                <w:i/>
                <w:iCs/>
                <w:lang w:val="en-GB"/>
              </w:rPr>
            </w:pPr>
            <w:r w:rsidRPr="00A72D41">
              <w:rPr>
                <w:i/>
                <w:iCs/>
                <w:lang w:val="en-GB"/>
              </w:rPr>
              <w:lastRenderedPageBreak/>
              <w:t xml:space="preserve">15 points – if 10.01-15% of the number of the tools envisaged are the tools for mental health. </w:t>
            </w:r>
          </w:p>
          <w:p w14:paraId="16BA64D9" w14:textId="77777777" w:rsidR="006E20D8" w:rsidRPr="00A72D41" w:rsidRDefault="006E20D8" w:rsidP="00FA5DB7">
            <w:pPr>
              <w:spacing w:after="0" w:line="240" w:lineRule="auto"/>
              <w:ind w:firstLine="340"/>
              <w:jc w:val="both"/>
              <w:rPr>
                <w:lang w:val="en-GB"/>
              </w:rPr>
            </w:pPr>
          </w:p>
        </w:tc>
        <w:tc>
          <w:tcPr>
            <w:tcW w:w="680" w:type="pct"/>
            <w:tcBorders>
              <w:bottom w:val="single" w:sz="4" w:space="0" w:color="auto"/>
            </w:tcBorders>
            <w:shd w:val="clear" w:color="auto" w:fill="auto"/>
          </w:tcPr>
          <w:p w14:paraId="07BBA6D6" w14:textId="77777777" w:rsidR="006E20D8" w:rsidRPr="00A72D41" w:rsidRDefault="006E20D8" w:rsidP="00FA5DB7">
            <w:pPr>
              <w:spacing w:after="0" w:line="240" w:lineRule="auto"/>
              <w:rPr>
                <w:lang w:val="en-GB"/>
              </w:rPr>
            </w:pPr>
          </w:p>
        </w:tc>
        <w:tc>
          <w:tcPr>
            <w:tcW w:w="728" w:type="pct"/>
            <w:tcBorders>
              <w:bottom w:val="single" w:sz="4" w:space="0" w:color="auto"/>
            </w:tcBorders>
            <w:shd w:val="clear" w:color="auto" w:fill="auto"/>
          </w:tcPr>
          <w:p w14:paraId="44FC1697" w14:textId="77777777" w:rsidR="006E20D8" w:rsidRPr="00A72D41" w:rsidRDefault="006E20D8" w:rsidP="00FA5DB7">
            <w:pPr>
              <w:spacing w:after="0" w:line="240" w:lineRule="auto"/>
              <w:rPr>
                <w:lang w:val="en-GB"/>
              </w:rPr>
            </w:pPr>
            <w:r w:rsidRPr="00A72D41">
              <w:rPr>
                <w:lang w:val="en-GB"/>
              </w:rPr>
              <w:t xml:space="preserve">Application </w:t>
            </w:r>
          </w:p>
        </w:tc>
      </w:tr>
      <w:tr w:rsidR="006E20D8" w:rsidRPr="00A72D41" w14:paraId="4E0EE687" w14:textId="77777777" w:rsidTr="00771817">
        <w:trPr>
          <w:trHeight w:val="20"/>
          <w:jc w:val="center"/>
        </w:trPr>
        <w:tc>
          <w:tcPr>
            <w:tcW w:w="233" w:type="pct"/>
            <w:tcBorders>
              <w:bottom w:val="single" w:sz="4" w:space="0" w:color="auto"/>
            </w:tcBorders>
            <w:shd w:val="clear" w:color="auto" w:fill="auto"/>
          </w:tcPr>
          <w:p w14:paraId="6B1898EC" w14:textId="77777777" w:rsidR="006E20D8" w:rsidRPr="00A72D41" w:rsidRDefault="006E20D8" w:rsidP="00FA5DB7">
            <w:pPr>
              <w:spacing w:after="0"/>
              <w:jc w:val="center"/>
              <w:rPr>
                <w:lang w:val="en-GB"/>
              </w:rPr>
            </w:pPr>
            <w:r w:rsidRPr="00A72D41">
              <w:rPr>
                <w:lang w:val="en-GB"/>
              </w:rPr>
              <w:t>3.</w:t>
            </w:r>
          </w:p>
        </w:tc>
        <w:tc>
          <w:tcPr>
            <w:tcW w:w="1263" w:type="pct"/>
            <w:tcBorders>
              <w:bottom w:val="single" w:sz="4" w:space="0" w:color="auto"/>
            </w:tcBorders>
            <w:shd w:val="clear" w:color="auto" w:fill="auto"/>
          </w:tcPr>
          <w:p w14:paraId="29AF74D2" w14:textId="77777777" w:rsidR="006E20D8" w:rsidRPr="00A72D41" w:rsidRDefault="006E20D8" w:rsidP="00FA5DB7">
            <w:pPr>
              <w:tabs>
                <w:tab w:val="left" w:pos="993"/>
              </w:tabs>
              <w:suppressAutoHyphens/>
              <w:autoSpaceDE w:val="0"/>
              <w:autoSpaceDN w:val="0"/>
              <w:adjustRightInd w:val="0"/>
              <w:spacing w:after="0" w:line="240" w:lineRule="auto"/>
              <w:textAlignment w:val="center"/>
              <w:rPr>
                <w:lang w:val="en-GB"/>
              </w:rPr>
            </w:pPr>
            <w:r w:rsidRPr="00A72D41">
              <w:rPr>
                <w:rFonts w:eastAsia="Times New Roman"/>
                <w:color w:val="000000"/>
                <w:lang w:val="en-GB"/>
              </w:rPr>
              <w:t xml:space="preserve">The contribution of the Applicant to the total budget of the Project. </w:t>
            </w:r>
          </w:p>
        </w:tc>
        <w:tc>
          <w:tcPr>
            <w:tcW w:w="2096" w:type="pct"/>
            <w:tcBorders>
              <w:bottom w:val="single" w:sz="4" w:space="0" w:color="auto"/>
            </w:tcBorders>
            <w:shd w:val="clear" w:color="auto" w:fill="auto"/>
          </w:tcPr>
          <w:p w14:paraId="4B216319" w14:textId="77777777" w:rsidR="006E20D8" w:rsidRPr="00A72D41" w:rsidRDefault="006E20D8" w:rsidP="00FA5DB7">
            <w:pPr>
              <w:spacing w:after="0" w:line="240" w:lineRule="auto"/>
              <w:jc w:val="both"/>
              <w:rPr>
                <w:lang w:val="en-GB"/>
              </w:rPr>
            </w:pPr>
            <w:r w:rsidRPr="00A72D41">
              <w:rPr>
                <w:lang w:val="en-GB"/>
              </w:rPr>
              <w:t xml:space="preserve">Percentage of </w:t>
            </w:r>
            <w:r w:rsidRPr="00A72D41">
              <w:rPr>
                <w:rFonts w:eastAsia="Times New Roman"/>
                <w:color w:val="000000"/>
                <w:lang w:val="en-GB"/>
              </w:rPr>
              <w:t xml:space="preserve">the contribution of the Applicant to the total budget of the Project: </w:t>
            </w:r>
          </w:p>
          <w:p w14:paraId="5AE38282" w14:textId="77777777" w:rsidR="006E20D8" w:rsidRPr="00A72D41" w:rsidRDefault="006E20D8" w:rsidP="00FA5DB7">
            <w:pPr>
              <w:spacing w:after="0" w:line="240" w:lineRule="auto"/>
              <w:ind w:firstLine="340"/>
              <w:jc w:val="both"/>
              <w:rPr>
                <w:i/>
                <w:iCs/>
                <w:lang w:val="en-GB"/>
              </w:rPr>
            </w:pPr>
            <w:r w:rsidRPr="00A72D41">
              <w:rPr>
                <w:i/>
                <w:iCs/>
                <w:lang w:val="en-GB"/>
              </w:rPr>
              <w:t>20 points – 26 % and more of own contribution;</w:t>
            </w:r>
          </w:p>
          <w:p w14:paraId="6512998E" w14:textId="77777777" w:rsidR="006E20D8" w:rsidRPr="00A72D41" w:rsidRDefault="006E20D8" w:rsidP="00FA5DB7">
            <w:pPr>
              <w:spacing w:after="0" w:line="240" w:lineRule="auto"/>
              <w:ind w:firstLine="340"/>
              <w:jc w:val="both"/>
              <w:rPr>
                <w:i/>
                <w:iCs/>
                <w:lang w:val="en-GB"/>
              </w:rPr>
            </w:pPr>
            <w:r w:rsidRPr="00A72D41">
              <w:rPr>
                <w:i/>
                <w:iCs/>
                <w:lang w:val="en-GB"/>
              </w:rPr>
              <w:t>15 points – 21-25 % of own contribution;</w:t>
            </w:r>
          </w:p>
          <w:p w14:paraId="1599BEBF" w14:textId="77777777" w:rsidR="006E20D8" w:rsidRPr="00A72D41" w:rsidRDefault="006E20D8" w:rsidP="00FA5DB7">
            <w:pPr>
              <w:spacing w:after="0" w:line="240" w:lineRule="auto"/>
              <w:ind w:firstLine="340"/>
              <w:jc w:val="both"/>
              <w:rPr>
                <w:i/>
                <w:iCs/>
                <w:lang w:val="en-GB"/>
              </w:rPr>
            </w:pPr>
            <w:r w:rsidRPr="00A72D41">
              <w:rPr>
                <w:i/>
                <w:iCs/>
                <w:lang w:val="en-GB"/>
              </w:rPr>
              <w:t>10 points – 16-20 % of own contribution;</w:t>
            </w:r>
          </w:p>
          <w:p w14:paraId="463756EA" w14:textId="77777777" w:rsidR="006E20D8" w:rsidRPr="00A72D41" w:rsidRDefault="006E20D8" w:rsidP="00FA5DB7">
            <w:pPr>
              <w:spacing w:after="0" w:line="240" w:lineRule="auto"/>
              <w:ind w:firstLine="340"/>
              <w:jc w:val="both"/>
              <w:rPr>
                <w:i/>
                <w:iCs/>
                <w:lang w:val="en-GB"/>
              </w:rPr>
            </w:pPr>
            <w:r w:rsidRPr="00A72D41">
              <w:rPr>
                <w:i/>
                <w:iCs/>
                <w:lang w:val="en-GB"/>
              </w:rPr>
              <w:t>5 points – 11-15 % of own contribution.</w:t>
            </w:r>
          </w:p>
          <w:p w14:paraId="540E2B52" w14:textId="77777777" w:rsidR="006E20D8" w:rsidRPr="00A72D41" w:rsidRDefault="006E20D8" w:rsidP="00FA5DB7">
            <w:pPr>
              <w:widowControl w:val="0"/>
              <w:tabs>
                <w:tab w:val="center" w:pos="4819"/>
                <w:tab w:val="right" w:pos="9638"/>
              </w:tabs>
              <w:spacing w:after="0" w:line="240" w:lineRule="auto"/>
              <w:jc w:val="both"/>
              <w:rPr>
                <w:lang w:val="en-GB"/>
              </w:rPr>
            </w:pPr>
          </w:p>
        </w:tc>
        <w:tc>
          <w:tcPr>
            <w:tcW w:w="680" w:type="pct"/>
            <w:tcBorders>
              <w:bottom w:val="single" w:sz="4" w:space="0" w:color="auto"/>
            </w:tcBorders>
            <w:shd w:val="clear" w:color="auto" w:fill="auto"/>
          </w:tcPr>
          <w:p w14:paraId="3EA0BA3D" w14:textId="77777777" w:rsidR="006E20D8" w:rsidRPr="00A72D41" w:rsidRDefault="006E20D8" w:rsidP="00FA5DB7">
            <w:pPr>
              <w:spacing w:after="0" w:line="240" w:lineRule="auto"/>
              <w:rPr>
                <w:lang w:val="en-GB"/>
              </w:rPr>
            </w:pPr>
          </w:p>
        </w:tc>
        <w:tc>
          <w:tcPr>
            <w:tcW w:w="728" w:type="pct"/>
            <w:tcBorders>
              <w:bottom w:val="single" w:sz="4" w:space="0" w:color="auto"/>
            </w:tcBorders>
            <w:shd w:val="clear" w:color="auto" w:fill="auto"/>
          </w:tcPr>
          <w:p w14:paraId="37157AA5" w14:textId="77777777" w:rsidR="006E20D8" w:rsidRPr="00A72D41" w:rsidRDefault="006E20D8" w:rsidP="00FA5DB7">
            <w:pPr>
              <w:spacing w:after="0" w:line="240" w:lineRule="auto"/>
              <w:rPr>
                <w:lang w:val="en-GB"/>
              </w:rPr>
            </w:pPr>
            <w:r w:rsidRPr="00A72D41">
              <w:rPr>
                <w:lang w:val="en-GB"/>
              </w:rPr>
              <w:t>App</w:t>
            </w:r>
            <w:r>
              <w:rPr>
                <w:lang w:val="en-GB"/>
              </w:rPr>
              <w:t>l</w:t>
            </w:r>
            <w:r w:rsidRPr="00A72D41">
              <w:rPr>
                <w:lang w:val="en-GB"/>
              </w:rPr>
              <w:t xml:space="preserve">ication </w:t>
            </w:r>
          </w:p>
        </w:tc>
      </w:tr>
      <w:tr w:rsidR="006E20D8" w:rsidRPr="00A72D41" w14:paraId="480703D4" w14:textId="77777777" w:rsidTr="00771817">
        <w:trPr>
          <w:trHeight w:val="20"/>
          <w:jc w:val="center"/>
        </w:trPr>
        <w:tc>
          <w:tcPr>
            <w:tcW w:w="233" w:type="pct"/>
            <w:tcBorders>
              <w:bottom w:val="single" w:sz="4" w:space="0" w:color="auto"/>
            </w:tcBorders>
            <w:shd w:val="clear" w:color="auto" w:fill="auto"/>
          </w:tcPr>
          <w:p w14:paraId="2CAEBA09" w14:textId="77777777" w:rsidR="006E20D8" w:rsidRPr="00A72D41" w:rsidRDefault="006E20D8" w:rsidP="00FA5DB7">
            <w:pPr>
              <w:spacing w:after="0"/>
              <w:jc w:val="center"/>
              <w:rPr>
                <w:lang w:val="en-GB"/>
              </w:rPr>
            </w:pPr>
            <w:r w:rsidRPr="00A72D41">
              <w:rPr>
                <w:lang w:val="en-GB"/>
              </w:rPr>
              <w:t xml:space="preserve">4. </w:t>
            </w:r>
          </w:p>
        </w:tc>
        <w:tc>
          <w:tcPr>
            <w:tcW w:w="1263" w:type="pct"/>
            <w:tcBorders>
              <w:bottom w:val="single" w:sz="4" w:space="0" w:color="auto"/>
            </w:tcBorders>
            <w:shd w:val="clear" w:color="auto" w:fill="auto"/>
          </w:tcPr>
          <w:p w14:paraId="4623C1D0" w14:textId="77777777" w:rsidR="006E20D8" w:rsidRPr="00A72D41" w:rsidRDefault="006E20D8" w:rsidP="00FA5DB7">
            <w:pPr>
              <w:spacing w:after="0"/>
              <w:rPr>
                <w:lang w:val="en-GB"/>
              </w:rPr>
            </w:pPr>
            <w:r w:rsidRPr="00A72D41">
              <w:rPr>
                <w:lang w:val="en-GB"/>
              </w:rPr>
              <w:t xml:space="preserve">The Projects are implemented in the municipality which has not received funding for similar activities. </w:t>
            </w:r>
          </w:p>
        </w:tc>
        <w:tc>
          <w:tcPr>
            <w:tcW w:w="2096" w:type="pct"/>
            <w:tcBorders>
              <w:bottom w:val="single" w:sz="4" w:space="0" w:color="auto"/>
            </w:tcBorders>
            <w:shd w:val="clear" w:color="auto" w:fill="auto"/>
          </w:tcPr>
          <w:p w14:paraId="64CF1A88" w14:textId="77777777" w:rsidR="006E20D8" w:rsidRPr="00A72D41" w:rsidRDefault="006E20D8" w:rsidP="00FA5DB7">
            <w:pPr>
              <w:widowControl w:val="0"/>
              <w:tabs>
                <w:tab w:val="center" w:pos="4819"/>
                <w:tab w:val="right" w:pos="9638"/>
              </w:tabs>
              <w:spacing w:after="0" w:line="240" w:lineRule="auto"/>
              <w:jc w:val="both"/>
              <w:rPr>
                <w:lang w:val="en-GB"/>
              </w:rPr>
            </w:pPr>
            <w:r w:rsidRPr="00A72D41">
              <w:rPr>
                <w:lang w:val="en-GB"/>
              </w:rPr>
              <w:t>The offices of schools / pre-schools, that are included in the Project application, are registered in the municipality that has not received funding of the Instrument “Improvement of the provision of healthcare services at schools and pre-schools“ of Norwegian Financial Mechanism 2009-2014 Programme LT11 “Public Health Initiatives“.</w:t>
            </w:r>
            <w:r w:rsidRPr="00A72D41">
              <w:rPr>
                <w:vertAlign w:val="superscript"/>
                <w:lang w:val="en-GB"/>
              </w:rPr>
              <w:t>2</w:t>
            </w:r>
            <w:r w:rsidRPr="00A72D41">
              <w:rPr>
                <w:lang w:val="en-GB"/>
              </w:rPr>
              <w:t xml:space="preserve"> </w:t>
            </w:r>
          </w:p>
          <w:p w14:paraId="7839C8AA" w14:textId="77777777" w:rsidR="006E20D8" w:rsidRPr="00A72D41" w:rsidRDefault="006E20D8" w:rsidP="00FA5DB7">
            <w:pPr>
              <w:widowControl w:val="0"/>
              <w:tabs>
                <w:tab w:val="center" w:pos="4819"/>
                <w:tab w:val="right" w:pos="9638"/>
              </w:tabs>
              <w:spacing w:after="0" w:line="240" w:lineRule="auto"/>
              <w:jc w:val="both"/>
              <w:rPr>
                <w:lang w:val="en-GB"/>
              </w:rPr>
            </w:pPr>
          </w:p>
          <w:p w14:paraId="5BD42C39" w14:textId="77777777" w:rsidR="006E20D8" w:rsidRPr="00A72D41" w:rsidRDefault="006E20D8" w:rsidP="00FA5DB7">
            <w:pPr>
              <w:spacing w:after="0" w:line="240" w:lineRule="auto"/>
              <w:ind w:firstLine="340"/>
              <w:jc w:val="both"/>
              <w:rPr>
                <w:i/>
                <w:iCs/>
                <w:lang w:val="en-GB"/>
              </w:rPr>
            </w:pPr>
            <w:r w:rsidRPr="00A72D41">
              <w:rPr>
                <w:i/>
                <w:iCs/>
                <w:lang w:val="en-GB"/>
              </w:rPr>
              <w:t xml:space="preserve">20 points – if 100% of health offices are registered in the municipality that has not been granted support from Norwegian Financial Mechanism. </w:t>
            </w:r>
          </w:p>
          <w:p w14:paraId="75B17A52" w14:textId="77777777" w:rsidR="006E20D8" w:rsidRPr="00A72D41" w:rsidRDefault="006E20D8" w:rsidP="00FA5DB7">
            <w:pPr>
              <w:spacing w:after="0" w:line="240" w:lineRule="auto"/>
              <w:ind w:firstLine="340"/>
              <w:jc w:val="both"/>
              <w:rPr>
                <w:lang w:val="en-GB"/>
              </w:rPr>
            </w:pPr>
          </w:p>
        </w:tc>
        <w:tc>
          <w:tcPr>
            <w:tcW w:w="680" w:type="pct"/>
            <w:tcBorders>
              <w:bottom w:val="single" w:sz="4" w:space="0" w:color="auto"/>
            </w:tcBorders>
            <w:shd w:val="clear" w:color="auto" w:fill="auto"/>
          </w:tcPr>
          <w:p w14:paraId="34AE800B" w14:textId="77777777" w:rsidR="006E20D8" w:rsidRPr="00A72D41" w:rsidRDefault="006E20D8" w:rsidP="00FA5DB7">
            <w:pPr>
              <w:spacing w:after="0" w:line="240" w:lineRule="auto"/>
              <w:rPr>
                <w:lang w:val="en-GB"/>
              </w:rPr>
            </w:pPr>
          </w:p>
        </w:tc>
        <w:tc>
          <w:tcPr>
            <w:tcW w:w="728" w:type="pct"/>
            <w:tcBorders>
              <w:bottom w:val="single" w:sz="4" w:space="0" w:color="auto"/>
            </w:tcBorders>
            <w:shd w:val="clear" w:color="auto" w:fill="auto"/>
          </w:tcPr>
          <w:p w14:paraId="25730156" w14:textId="77777777" w:rsidR="006E20D8" w:rsidRPr="00A72D41" w:rsidRDefault="006E20D8" w:rsidP="00FA5DB7">
            <w:pPr>
              <w:spacing w:after="0" w:line="240" w:lineRule="auto"/>
              <w:rPr>
                <w:lang w:val="en-GB"/>
              </w:rPr>
            </w:pPr>
            <w:r w:rsidRPr="00A72D41">
              <w:rPr>
                <w:lang w:val="en-GB"/>
              </w:rPr>
              <w:t xml:space="preserve">Application </w:t>
            </w:r>
          </w:p>
        </w:tc>
      </w:tr>
      <w:tr w:rsidR="006E20D8" w:rsidRPr="00A72D41" w14:paraId="727719C9" w14:textId="77777777" w:rsidTr="00771817">
        <w:trPr>
          <w:trHeight w:val="305"/>
          <w:jc w:val="center"/>
        </w:trPr>
        <w:tc>
          <w:tcPr>
            <w:tcW w:w="3592" w:type="pct"/>
            <w:gridSpan w:val="3"/>
            <w:shd w:val="clear" w:color="auto" w:fill="auto"/>
          </w:tcPr>
          <w:p w14:paraId="502AAFB6" w14:textId="77777777" w:rsidR="006E20D8" w:rsidRPr="00A72D41" w:rsidRDefault="006E20D8" w:rsidP="00FA5DB7">
            <w:pPr>
              <w:spacing w:after="0" w:line="240" w:lineRule="auto"/>
              <w:jc w:val="right"/>
              <w:rPr>
                <w:lang w:val="en-GB"/>
              </w:rPr>
            </w:pPr>
            <w:r w:rsidRPr="00A72D41">
              <w:rPr>
                <w:b/>
                <w:bCs/>
                <w:lang w:val="en-GB"/>
              </w:rPr>
              <w:t>TOTAL SCORES GIVEN</w:t>
            </w:r>
          </w:p>
        </w:tc>
        <w:tc>
          <w:tcPr>
            <w:tcW w:w="1408" w:type="pct"/>
            <w:gridSpan w:val="2"/>
            <w:shd w:val="clear" w:color="auto" w:fill="auto"/>
          </w:tcPr>
          <w:p w14:paraId="10A3AED7" w14:textId="77777777" w:rsidR="006E20D8" w:rsidRPr="00A72D41" w:rsidRDefault="006E20D8" w:rsidP="00FA5DB7">
            <w:pPr>
              <w:spacing w:after="0" w:line="240" w:lineRule="auto"/>
              <w:rPr>
                <w:lang w:val="en-GB"/>
              </w:rPr>
            </w:pPr>
            <w:r w:rsidRPr="00A72D41">
              <w:rPr>
                <w:lang w:val="en-GB"/>
              </w:rPr>
              <w:t xml:space="preserve">                    (out of 100)</w:t>
            </w:r>
          </w:p>
        </w:tc>
      </w:tr>
    </w:tbl>
    <w:p w14:paraId="773EF4F6" w14:textId="77777777" w:rsidR="006E20D8" w:rsidRPr="008B20FE" w:rsidRDefault="006E20D8" w:rsidP="006E20D8">
      <w:pPr>
        <w:rPr>
          <w:lang w:val="en-GB"/>
        </w:rPr>
      </w:pPr>
      <w:r w:rsidRPr="008B20FE">
        <w:rPr>
          <w:b/>
          <w:bCs/>
          <w:lang w:val="en-GB"/>
        </w:rPr>
        <w:t>The evaluation concluded as</w:t>
      </w:r>
      <w:r w:rsidRPr="008B20FE">
        <w:rPr>
          <w:lang w:val="en-GB"/>
        </w:rPr>
        <w:t xml:space="preserve">: Positive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771817">
        <w:rPr>
          <w:lang w:val="en-GB"/>
        </w:rPr>
      </w:r>
      <w:r w:rsidR="00771817">
        <w:rPr>
          <w:lang w:val="en-GB"/>
        </w:rPr>
        <w:fldChar w:fldCharType="separate"/>
      </w:r>
      <w:r w:rsidRPr="008B20FE">
        <w:rPr>
          <w:lang w:val="en-GB"/>
        </w:rPr>
        <w:fldChar w:fldCharType="end"/>
      </w:r>
      <w:r w:rsidRPr="008B20FE">
        <w:rPr>
          <w:lang w:val="en-GB"/>
        </w:rPr>
        <w:t xml:space="preserve">  Negative  </w:t>
      </w:r>
      <w:r w:rsidRPr="008B20FE">
        <w:rPr>
          <w:lang w:val="en-GB"/>
        </w:rPr>
        <w:fldChar w:fldCharType="begin">
          <w:ffData>
            <w:name w:val="Check7"/>
            <w:enabled/>
            <w:calcOnExit w:val="0"/>
            <w:checkBox>
              <w:sizeAuto/>
              <w:default w:val="0"/>
            </w:checkBox>
          </w:ffData>
        </w:fldChar>
      </w:r>
      <w:r w:rsidRPr="008B20FE">
        <w:rPr>
          <w:lang w:val="en-GB"/>
        </w:rPr>
        <w:instrText xml:space="preserve"> FORMCHECKBOX </w:instrText>
      </w:r>
      <w:r w:rsidR="00771817">
        <w:rPr>
          <w:lang w:val="en-GB"/>
        </w:rPr>
      </w:r>
      <w:r w:rsidR="00771817">
        <w:rPr>
          <w:lang w:val="en-GB"/>
        </w:rPr>
        <w:fldChar w:fldCharType="separate"/>
      </w:r>
      <w:r w:rsidRPr="008B20FE">
        <w:rPr>
          <w:lang w:val="en-GB"/>
        </w:rPr>
        <w:fldChar w:fldCharType="end"/>
      </w:r>
    </w:p>
    <w:p w14:paraId="45486758" w14:textId="77777777" w:rsidR="006E20D8" w:rsidRPr="008B20FE" w:rsidRDefault="006E20D8" w:rsidP="006E20D8">
      <w:pPr>
        <w:rPr>
          <w:lang w:val="en-GB"/>
        </w:rPr>
      </w:pPr>
      <w:r w:rsidRPr="008B20FE">
        <w:rPr>
          <w:lang w:val="en-GB"/>
        </w:rPr>
        <w:t xml:space="preserve">Date of evaluation </w:t>
      </w:r>
    </w:p>
    <w:p w14:paraId="7B55B26F" w14:textId="77777777" w:rsidR="006E20D8" w:rsidRDefault="006E20D8" w:rsidP="006E20D8">
      <w:pPr>
        <w:jc w:val="both"/>
        <w:rPr>
          <w:vertAlign w:val="superscript"/>
          <w:lang w:val="en-GB"/>
        </w:rPr>
      </w:pPr>
    </w:p>
    <w:p w14:paraId="5E253040" w14:textId="418A8D26" w:rsidR="006E20D8" w:rsidRPr="00A72D41" w:rsidRDefault="006E20D8" w:rsidP="006E20D8">
      <w:pPr>
        <w:jc w:val="both"/>
        <w:rPr>
          <w:lang w:val="en-GB"/>
        </w:rPr>
      </w:pPr>
      <w:r w:rsidRPr="00A72D41">
        <w:rPr>
          <w:vertAlign w:val="superscript"/>
          <w:lang w:val="en-GB"/>
        </w:rPr>
        <w:t>1</w:t>
      </w:r>
      <w:r w:rsidRPr="00A72D41">
        <w:rPr>
          <w:lang w:val="en-GB"/>
        </w:rPr>
        <w:t>Based on the Master Plan of the Territory of the Republic of Lithuania approved by the Resolution No IX-1154 of the Seimas of the Republic of Lithuania of 29 October 2002 on the Master Plan of the Territory of the Republic of Lithuania. The information is publicly available at:</w:t>
      </w:r>
      <w:r w:rsidRPr="00A72D41">
        <w:rPr>
          <w:vertAlign w:val="superscript"/>
          <w:lang w:val="en-GB"/>
        </w:rPr>
        <w:t xml:space="preserve"> </w:t>
      </w:r>
      <w:hyperlink r:id="rId12" w:history="1">
        <w:r w:rsidRPr="00A72D41">
          <w:rPr>
            <w:color w:val="0000FF"/>
            <w:u w:val="single"/>
            <w:lang w:val="en-GB"/>
          </w:rPr>
          <w:t>http://www.bendrasisplanas.lt/interaktyvus-duomenys/</w:t>
        </w:r>
      </w:hyperlink>
      <w:r w:rsidRPr="00A72D41">
        <w:rPr>
          <w:lang w:val="en-GB"/>
        </w:rPr>
        <w:t xml:space="preserve">. The municipalities are evaluated according to a set of social indicators. </w:t>
      </w:r>
    </w:p>
    <w:p w14:paraId="53B8E762" w14:textId="77777777" w:rsidR="006E20D8" w:rsidRPr="00A72D41" w:rsidRDefault="006E20D8" w:rsidP="006E20D8">
      <w:pPr>
        <w:jc w:val="both"/>
        <w:rPr>
          <w:lang w:val="en-GB"/>
        </w:rPr>
      </w:pPr>
      <w:r w:rsidRPr="00A72D41">
        <w:rPr>
          <w:b/>
          <w:bCs/>
          <w:lang w:val="en-GB"/>
        </w:rPr>
        <w:lastRenderedPageBreak/>
        <w:t>Weak areas</w:t>
      </w:r>
      <w:r w:rsidRPr="00A72D41">
        <w:rPr>
          <w:lang w:val="en-GB"/>
        </w:rPr>
        <w:t>: Ignalina District Municipality, Jurbarkas District Municipality, Lazdijai District Municipality, Pagėgiai Municipality, Rokiškis District Municipality, Skuodas District Municipality, Visaginas Municipality.</w:t>
      </w:r>
    </w:p>
    <w:p w14:paraId="77917629" w14:textId="77777777" w:rsidR="006E20D8" w:rsidRPr="00A72D41" w:rsidRDefault="006E20D8" w:rsidP="006E20D8">
      <w:pPr>
        <w:jc w:val="both"/>
        <w:rPr>
          <w:lang w:val="en-GB"/>
        </w:rPr>
      </w:pPr>
      <w:r w:rsidRPr="00A72D41">
        <w:rPr>
          <w:b/>
          <w:bCs/>
          <w:lang w:val="en-GB"/>
        </w:rPr>
        <w:t>Areas of moderate weakness</w:t>
      </w:r>
      <w:r w:rsidRPr="00A72D41">
        <w:rPr>
          <w:lang w:val="en-GB"/>
        </w:rPr>
        <w:t>: Akmenė District Municipality; Alytus City Municipality; Alytus District Municipality; Anykščiai District Municipality; Birštonas District Municipality; Biržai District Municipality; Druskininkai Municipality; Joniškis District Municipality; Kalvarija Municipality; Kazlų Rūda Municipality; Kelmė District Municipality; Kėdainiai District Municipality; Kupiškis District Municipality; Mažeikiai District Municipality; Pakruojis District Municipality; Pasvalys District Municipality; Radviliškis District Municipality; Raseiniai District Municipality; Šakiai District Municipality; Šilutė District Municipality; Švenčionys District Municipality; Tauragė District Municipality; Telšiai District Municipality; Ukmergė District Municipality; Varėna District Municipality; Vilkaviškis District Municipality; Zarasai District Municipality.</w:t>
      </w:r>
      <w:r w:rsidRPr="00A72D41">
        <w:rPr>
          <w:color w:val="0000FF"/>
          <w:u w:val="single"/>
          <w:lang w:val="en-GB"/>
        </w:rPr>
        <w:t xml:space="preserve"> </w:t>
      </w:r>
    </w:p>
    <w:p w14:paraId="226F01C0" w14:textId="77777777" w:rsidR="006E20D8" w:rsidRPr="00A72D41" w:rsidRDefault="006E20D8" w:rsidP="006E20D8">
      <w:pPr>
        <w:jc w:val="both"/>
        <w:rPr>
          <w:lang w:val="en-GB"/>
        </w:rPr>
      </w:pPr>
    </w:p>
    <w:p w14:paraId="29479955" w14:textId="57AF7F55" w:rsidR="006E20D8" w:rsidRPr="00A72D41" w:rsidRDefault="006E20D8" w:rsidP="006E20D8">
      <w:pPr>
        <w:jc w:val="both"/>
        <w:rPr>
          <w:lang w:val="en-GB"/>
        </w:rPr>
      </w:pPr>
      <w:r w:rsidRPr="00A72D41">
        <w:rPr>
          <w:vertAlign w:val="superscript"/>
          <w:lang w:val="en-GB"/>
        </w:rPr>
        <w:t>2</w:t>
      </w:r>
      <w:r w:rsidRPr="00A72D41">
        <w:rPr>
          <w:lang w:val="en-GB"/>
        </w:rPr>
        <w:t xml:space="preserve"> The municipalities having received funding of the Instrument “Improvement of the provision of healthcare services at schools and pre-schools“ of Norwegian Financial Mechanism 2009-2014 Programme LT11 “Public Health Initiatives“: Akmenė District Municipality, Alytus City Municipality, Alytus District Municipality, Biržai District Municipality, Druskininai Municipality, Jonava District Municipality, Kalvarija Municipality, Lazdijai District Municipality, Marijampolė Municipality, Mažeikiai District Municipality, Molėtai District Municipality, Pagėgiai Municipality, Panevėžys District Municipality, Pasvalys District Municipality, Plungė District Municipality, Šalčininkai District Municipality, Tauragė District Municipality, Telšiai District Municipality, Ukmergė District Municipality, Utena District Municipality, Vilnius City Municipality, Vilnius District Municipality.</w:t>
      </w:r>
    </w:p>
    <w:p w14:paraId="27D65234" w14:textId="77777777" w:rsidR="006E20D8" w:rsidRPr="00A72D41" w:rsidRDefault="006E20D8" w:rsidP="006E20D8">
      <w:pPr>
        <w:jc w:val="both"/>
        <w:rPr>
          <w:b/>
          <w:bCs/>
          <w:lang w:val="en-GB"/>
        </w:rPr>
      </w:pPr>
      <w:r w:rsidRPr="00A72D41">
        <w:rPr>
          <w:b/>
          <w:bCs/>
          <w:lang w:val="en-GB"/>
        </w:rPr>
        <w:t>* Percentages are arithmetically rounded to a whole number.</w:t>
      </w:r>
    </w:p>
    <w:p w14:paraId="641C65D0" w14:textId="77777777" w:rsidR="006E20D8" w:rsidRPr="00A72D41" w:rsidRDefault="006E20D8" w:rsidP="006E20D8">
      <w:pPr>
        <w:pStyle w:val="EndnoteText"/>
        <w:rPr>
          <w:b/>
          <w:bCs/>
          <w:lang w:val="en-GB"/>
        </w:rPr>
      </w:pPr>
    </w:p>
    <w:p w14:paraId="4B10A96F" w14:textId="7C3DC398" w:rsidR="003F0BF9" w:rsidRDefault="003F0BF9" w:rsidP="00D96C30">
      <w:pPr>
        <w:tabs>
          <w:tab w:val="left" w:pos="709"/>
        </w:tabs>
        <w:spacing w:after="0"/>
        <w:rPr>
          <w:rFonts w:ascii="Times" w:hAnsi="Times" w:cs="Calibri"/>
          <w:sz w:val="20"/>
          <w:szCs w:val="20"/>
          <w:lang w:val="en-GB"/>
        </w:rPr>
      </w:pPr>
    </w:p>
    <w:p w14:paraId="6885AB4E" w14:textId="77777777" w:rsidR="00704C50" w:rsidRPr="00AE1427" w:rsidRDefault="00704C50" w:rsidP="00D96C30">
      <w:pPr>
        <w:tabs>
          <w:tab w:val="left" w:pos="709"/>
        </w:tabs>
        <w:spacing w:after="0"/>
        <w:rPr>
          <w:rFonts w:ascii="Times" w:hAnsi="Times" w:cs="Calibri"/>
          <w:sz w:val="20"/>
          <w:szCs w:val="20"/>
          <w:lang w:val="en-GB"/>
        </w:rPr>
      </w:pPr>
    </w:p>
    <w:p w14:paraId="5940E150" w14:textId="77777777" w:rsidR="00880A9E" w:rsidRPr="00AE1427" w:rsidRDefault="00880A9E" w:rsidP="00880A9E">
      <w:pPr>
        <w:rPr>
          <w:rFonts w:ascii="Times" w:hAnsi="Times" w:cs="Calibri"/>
          <w:lang w:val="en-US"/>
        </w:rPr>
      </w:pPr>
    </w:p>
    <w:sectPr w:rsidR="00880A9E" w:rsidRPr="00AE1427" w:rsidSect="00DB0406">
      <w:headerReference w:type="default" r:id="rId13"/>
      <w:footerReference w:type="default" r:id="rId14"/>
      <w:pgSz w:w="16838" w:h="11906" w:orient="landscape"/>
      <w:pgMar w:top="709" w:right="1701"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10ECB" w16cid:durableId="22976EC8"/>
  <w16cid:commentId w16cid:paraId="40304CA9" w16cid:durableId="22A9ADE2"/>
  <w16cid:commentId w16cid:paraId="2C10CFAE" w16cid:durableId="22AF5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2B5F" w14:textId="77777777" w:rsidR="00DB6CF5" w:rsidRDefault="00DB6CF5" w:rsidP="000C204E">
      <w:pPr>
        <w:spacing w:after="0" w:line="240" w:lineRule="auto"/>
      </w:pPr>
      <w:r>
        <w:separator/>
      </w:r>
    </w:p>
  </w:endnote>
  <w:endnote w:type="continuationSeparator" w:id="0">
    <w:p w14:paraId="668E4318" w14:textId="77777777" w:rsidR="00DB6CF5" w:rsidRDefault="00DB6CF5" w:rsidP="000C204E">
      <w:pPr>
        <w:spacing w:after="0" w:line="240" w:lineRule="auto"/>
      </w:pPr>
      <w:r>
        <w:continuationSeparator/>
      </w:r>
    </w:p>
  </w:endnote>
  <w:endnote w:type="continuationNotice" w:id="1">
    <w:p w14:paraId="70B1C540" w14:textId="77777777" w:rsidR="00DB6CF5" w:rsidRDefault="00DB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65BC" w14:textId="77777777" w:rsidR="005E0D91" w:rsidRDefault="005E0D91">
    <w:pPr>
      <w:pStyle w:val="Footer"/>
      <w:jc w:val="right"/>
    </w:pPr>
  </w:p>
  <w:p w14:paraId="68FFD2A2" w14:textId="77777777" w:rsidR="005E0D91" w:rsidRDefault="005E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E923" w14:textId="77777777" w:rsidR="00DB6CF5" w:rsidRDefault="00DB6CF5" w:rsidP="000C204E">
      <w:pPr>
        <w:spacing w:after="0" w:line="240" w:lineRule="auto"/>
      </w:pPr>
      <w:r>
        <w:separator/>
      </w:r>
    </w:p>
  </w:footnote>
  <w:footnote w:type="continuationSeparator" w:id="0">
    <w:p w14:paraId="1E34C454" w14:textId="77777777" w:rsidR="00DB6CF5" w:rsidRDefault="00DB6CF5" w:rsidP="000C204E">
      <w:pPr>
        <w:spacing w:after="0" w:line="240" w:lineRule="auto"/>
      </w:pPr>
      <w:r>
        <w:continuationSeparator/>
      </w:r>
    </w:p>
  </w:footnote>
  <w:footnote w:type="continuationNotice" w:id="1">
    <w:p w14:paraId="20709BDF" w14:textId="77777777" w:rsidR="00DB6CF5" w:rsidRDefault="00DB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100F" w14:textId="0A2FB22C" w:rsidR="005E0D91" w:rsidRDefault="005E0D91">
    <w:pPr>
      <w:pStyle w:val="Header"/>
      <w:jc w:val="center"/>
    </w:pPr>
    <w:r>
      <w:fldChar w:fldCharType="begin"/>
    </w:r>
    <w:r>
      <w:instrText xml:space="preserve"> PAGE   \* MERGEFORMAT </w:instrText>
    </w:r>
    <w:r>
      <w:fldChar w:fldCharType="separate"/>
    </w:r>
    <w:r w:rsidR="00771817">
      <w:rPr>
        <w:noProof/>
      </w:rPr>
      <w:t>2</w:t>
    </w:r>
    <w:r>
      <w:rPr>
        <w:noProof/>
      </w:rPr>
      <w:fldChar w:fldCharType="end"/>
    </w:r>
  </w:p>
  <w:p w14:paraId="261EC314" w14:textId="77777777" w:rsidR="005E0D91" w:rsidRDefault="005E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89"/>
    <w:multiLevelType w:val="hybridMultilevel"/>
    <w:tmpl w:val="F896301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0322E64"/>
    <w:multiLevelType w:val="hybridMultilevel"/>
    <w:tmpl w:val="F2041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37037"/>
    <w:multiLevelType w:val="hybridMultilevel"/>
    <w:tmpl w:val="34E46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9E3EEC"/>
    <w:multiLevelType w:val="hybridMultilevel"/>
    <w:tmpl w:val="4C9A3EA6"/>
    <w:styleLink w:val="ImportedStyle6"/>
    <w:lvl w:ilvl="0" w:tplc="BF022E72">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A0E">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22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86306">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E1C7E">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08F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400D4">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CC608">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47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855232"/>
    <w:multiLevelType w:val="hybridMultilevel"/>
    <w:tmpl w:val="30E88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1C453E"/>
    <w:multiLevelType w:val="hybridMultilevel"/>
    <w:tmpl w:val="965E03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1669DD"/>
    <w:multiLevelType w:val="hybridMultilevel"/>
    <w:tmpl w:val="47D65BD0"/>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0170009"/>
    <w:multiLevelType w:val="hybridMultilevel"/>
    <w:tmpl w:val="2218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E5DF8"/>
    <w:multiLevelType w:val="hybridMultilevel"/>
    <w:tmpl w:val="8C2E45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9092DB6"/>
    <w:multiLevelType w:val="multilevel"/>
    <w:tmpl w:val="DB667B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677CE"/>
    <w:multiLevelType w:val="hybridMultilevel"/>
    <w:tmpl w:val="E7C61B62"/>
    <w:lvl w:ilvl="0" w:tplc="0427000F">
      <w:start w:val="1"/>
      <w:numFmt w:val="decimal"/>
      <w:lvlText w:val="%1."/>
      <w:lvlJc w:val="left"/>
      <w:pPr>
        <w:ind w:left="652"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DFD38D6"/>
    <w:multiLevelType w:val="hybridMultilevel"/>
    <w:tmpl w:val="718EF56E"/>
    <w:lvl w:ilvl="0" w:tplc="7DB04C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E8E5A32"/>
    <w:multiLevelType w:val="multilevel"/>
    <w:tmpl w:val="D2A21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1F08C6"/>
    <w:multiLevelType w:val="hybridMultilevel"/>
    <w:tmpl w:val="83C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21852"/>
    <w:multiLevelType w:val="multilevel"/>
    <w:tmpl w:val="5842379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CC3715"/>
    <w:multiLevelType w:val="multilevel"/>
    <w:tmpl w:val="F9862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2C4C0E45"/>
    <w:multiLevelType w:val="hybridMultilevel"/>
    <w:tmpl w:val="19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201C9"/>
    <w:multiLevelType w:val="multilevel"/>
    <w:tmpl w:val="6B1EDFFC"/>
    <w:lvl w:ilvl="0">
      <w:start w:val="5"/>
      <w:numFmt w:val="decimal"/>
      <w:lvlText w:val="%1"/>
      <w:lvlJc w:val="left"/>
      <w:pPr>
        <w:ind w:left="360" w:hanging="360"/>
      </w:pPr>
      <w:rPr>
        <w:rFonts w:hint="default"/>
      </w:rPr>
    </w:lvl>
    <w:lvl w:ilvl="1">
      <w:start w:val="1"/>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20" w15:restartNumberingAfterBreak="0">
    <w:nsid w:val="32866F0B"/>
    <w:multiLevelType w:val="hybridMultilevel"/>
    <w:tmpl w:val="20B8A8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38E1B0D"/>
    <w:multiLevelType w:val="hybridMultilevel"/>
    <w:tmpl w:val="E86E4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49C00DE"/>
    <w:multiLevelType w:val="hybridMultilevel"/>
    <w:tmpl w:val="D1FAF9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8B35EBF"/>
    <w:multiLevelType w:val="hybridMultilevel"/>
    <w:tmpl w:val="347830B4"/>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06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51419D"/>
    <w:multiLevelType w:val="hybridMultilevel"/>
    <w:tmpl w:val="DDF47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2C00983"/>
    <w:multiLevelType w:val="hybridMultilevel"/>
    <w:tmpl w:val="2E3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44B3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155EF8"/>
    <w:multiLevelType w:val="hybridMultilevel"/>
    <w:tmpl w:val="4DD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F3A14"/>
    <w:multiLevelType w:val="multilevel"/>
    <w:tmpl w:val="92A0AB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A26CDE"/>
    <w:multiLevelType w:val="multilevel"/>
    <w:tmpl w:val="CBC6EB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3047D4"/>
    <w:multiLevelType w:val="multilevel"/>
    <w:tmpl w:val="CBC6EB82"/>
    <w:lvl w:ilvl="0">
      <w:start w:val="1"/>
      <w:numFmt w:val="decimal"/>
      <w:lvlText w:val="%1."/>
      <w:lvlJc w:val="left"/>
      <w:pPr>
        <w:ind w:left="652" w:hanging="360"/>
      </w:pPr>
      <w:rPr>
        <w:rFonts w:hint="default"/>
      </w:rPr>
    </w:lvl>
    <w:lvl w:ilvl="1">
      <w:start w:val="1"/>
      <w:numFmt w:val="decimal"/>
      <w:lvlText w:val="%1.%2."/>
      <w:lvlJc w:val="left"/>
      <w:pPr>
        <w:ind w:left="1084" w:hanging="432"/>
      </w:pPr>
      <w:rPr>
        <w:rFonts w:hint="default"/>
      </w:rPr>
    </w:lvl>
    <w:lvl w:ilvl="2">
      <w:start w:val="1"/>
      <w:numFmt w:val="decimal"/>
      <w:lvlText w:val="%1.%2.%3."/>
      <w:lvlJc w:val="left"/>
      <w:pPr>
        <w:ind w:left="1516" w:hanging="504"/>
      </w:pPr>
      <w:rPr>
        <w:rFonts w:hint="default"/>
      </w:rPr>
    </w:lvl>
    <w:lvl w:ilvl="3">
      <w:start w:val="1"/>
      <w:numFmt w:val="decimal"/>
      <w:lvlText w:val="%1.%2.%3.%4."/>
      <w:lvlJc w:val="left"/>
      <w:pPr>
        <w:ind w:left="2020" w:hanging="648"/>
      </w:pPr>
      <w:rPr>
        <w:rFonts w:hint="default"/>
      </w:rPr>
    </w:lvl>
    <w:lvl w:ilvl="4">
      <w:start w:val="1"/>
      <w:numFmt w:val="decimal"/>
      <w:lvlText w:val="%1.%2.%3.%4.%5."/>
      <w:lvlJc w:val="left"/>
      <w:pPr>
        <w:ind w:left="2524" w:hanging="792"/>
      </w:pPr>
      <w:rPr>
        <w:rFonts w:hint="default"/>
      </w:rPr>
    </w:lvl>
    <w:lvl w:ilvl="5">
      <w:start w:val="1"/>
      <w:numFmt w:val="decimal"/>
      <w:lvlText w:val="%1.%2.%3.%4.%5.%6."/>
      <w:lvlJc w:val="left"/>
      <w:pPr>
        <w:ind w:left="3028" w:hanging="936"/>
      </w:pPr>
      <w:rPr>
        <w:rFonts w:hint="default"/>
      </w:rPr>
    </w:lvl>
    <w:lvl w:ilvl="6">
      <w:start w:val="1"/>
      <w:numFmt w:val="decimal"/>
      <w:lvlText w:val="%1.%2.%3.%4.%5.%6.%7."/>
      <w:lvlJc w:val="left"/>
      <w:pPr>
        <w:ind w:left="3532" w:hanging="1080"/>
      </w:pPr>
      <w:rPr>
        <w:rFonts w:hint="default"/>
      </w:rPr>
    </w:lvl>
    <w:lvl w:ilvl="7">
      <w:start w:val="1"/>
      <w:numFmt w:val="decimal"/>
      <w:lvlText w:val="%1.%2.%3.%4.%5.%6.%7.%8."/>
      <w:lvlJc w:val="left"/>
      <w:pPr>
        <w:ind w:left="4036" w:hanging="1224"/>
      </w:pPr>
      <w:rPr>
        <w:rFonts w:hint="default"/>
      </w:rPr>
    </w:lvl>
    <w:lvl w:ilvl="8">
      <w:start w:val="1"/>
      <w:numFmt w:val="decimal"/>
      <w:lvlText w:val="%1.%2.%3.%4.%5.%6.%7.%8.%9."/>
      <w:lvlJc w:val="left"/>
      <w:pPr>
        <w:ind w:left="4612" w:hanging="1440"/>
      </w:pPr>
      <w:rPr>
        <w:rFonts w:hint="default"/>
      </w:rPr>
    </w:lvl>
  </w:abstractNum>
  <w:abstractNum w:abstractNumId="34" w15:restartNumberingAfterBreak="0">
    <w:nsid w:val="4B8334F3"/>
    <w:multiLevelType w:val="hybridMultilevel"/>
    <w:tmpl w:val="1296686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A49F5"/>
    <w:multiLevelType w:val="hybridMultilevel"/>
    <w:tmpl w:val="1AD84F7A"/>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F857269"/>
    <w:multiLevelType w:val="hybridMultilevel"/>
    <w:tmpl w:val="77C8CD42"/>
    <w:lvl w:ilvl="0" w:tplc="D0501C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FE619C"/>
    <w:multiLevelType w:val="hybridMultilevel"/>
    <w:tmpl w:val="6C4C40EC"/>
    <w:lvl w:ilvl="0" w:tplc="65B427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274B4"/>
    <w:multiLevelType w:val="hybridMultilevel"/>
    <w:tmpl w:val="D6840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54E342B"/>
    <w:multiLevelType w:val="hybridMultilevel"/>
    <w:tmpl w:val="267A83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1" w15:restartNumberingAfterBreak="0">
    <w:nsid w:val="65E2623D"/>
    <w:multiLevelType w:val="hybridMultilevel"/>
    <w:tmpl w:val="76FE73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8414993"/>
    <w:multiLevelType w:val="hybridMultilevel"/>
    <w:tmpl w:val="C046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BA86667"/>
    <w:multiLevelType w:val="hybridMultilevel"/>
    <w:tmpl w:val="C4CC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DB80072"/>
    <w:multiLevelType w:val="hybridMultilevel"/>
    <w:tmpl w:val="A96E6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E045D08"/>
    <w:multiLevelType w:val="multilevel"/>
    <w:tmpl w:val="7BBAF3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287704E"/>
    <w:multiLevelType w:val="hybridMultilevel"/>
    <w:tmpl w:val="59440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2EE5923"/>
    <w:multiLevelType w:val="hybridMultilevel"/>
    <w:tmpl w:val="98800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BD439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28"/>
  </w:num>
  <w:num w:numId="3">
    <w:abstractNumId w:val="17"/>
  </w:num>
  <w:num w:numId="4">
    <w:abstractNumId w:val="0"/>
  </w:num>
  <w:num w:numId="5">
    <w:abstractNumId w:val="8"/>
  </w:num>
  <w:num w:numId="6">
    <w:abstractNumId w:val="12"/>
  </w:num>
  <w:num w:numId="7">
    <w:abstractNumId w:val="5"/>
  </w:num>
  <w:num w:numId="8">
    <w:abstractNumId w:val="44"/>
  </w:num>
  <w:num w:numId="9">
    <w:abstractNumId w:val="2"/>
  </w:num>
  <w:num w:numId="10">
    <w:abstractNumId w:val="42"/>
  </w:num>
  <w:num w:numId="11">
    <w:abstractNumId w:val="20"/>
  </w:num>
  <w:num w:numId="12">
    <w:abstractNumId w:val="47"/>
  </w:num>
  <w:num w:numId="13">
    <w:abstractNumId w:val="38"/>
  </w:num>
  <w:num w:numId="14">
    <w:abstractNumId w:val="1"/>
  </w:num>
  <w:num w:numId="15">
    <w:abstractNumId w:val="43"/>
  </w:num>
  <w:num w:numId="16">
    <w:abstractNumId w:val="46"/>
  </w:num>
  <w:num w:numId="17">
    <w:abstractNumId w:val="4"/>
  </w:num>
  <w:num w:numId="18">
    <w:abstractNumId w:val="6"/>
  </w:num>
  <w:num w:numId="19">
    <w:abstractNumId w:val="35"/>
  </w:num>
  <w:num w:numId="20">
    <w:abstractNumId w:val="41"/>
  </w:num>
  <w:num w:numId="21">
    <w:abstractNumId w:val="21"/>
  </w:num>
  <w:num w:numId="22">
    <w:abstractNumId w:val="22"/>
  </w:num>
  <w:num w:numId="23">
    <w:abstractNumId w:val="26"/>
  </w:num>
  <w:num w:numId="24">
    <w:abstractNumId w:val="18"/>
  </w:num>
  <w:num w:numId="25">
    <w:abstractNumId w:val="37"/>
  </w:num>
  <w:num w:numId="26">
    <w:abstractNumId w:val="7"/>
  </w:num>
  <w:num w:numId="27">
    <w:abstractNumId w:val="14"/>
  </w:num>
  <w:num w:numId="28">
    <w:abstractNumId w:val="40"/>
  </w:num>
  <w:num w:numId="29">
    <w:abstractNumId w:val="27"/>
  </w:num>
  <w:num w:numId="30">
    <w:abstractNumId w:val="30"/>
  </w:num>
  <w:num w:numId="31">
    <w:abstractNumId w:val="34"/>
  </w:num>
  <w:num w:numId="32">
    <w:abstractNumId w:val="24"/>
  </w:num>
  <w:num w:numId="33">
    <w:abstractNumId w:val="10"/>
  </w:num>
  <w:num w:numId="34">
    <w:abstractNumId w:val="3"/>
  </w:num>
  <w:num w:numId="35">
    <w:abstractNumId w:val="23"/>
  </w:num>
  <w:num w:numId="36">
    <w:abstractNumId w:val="13"/>
  </w:num>
  <w:num w:numId="37">
    <w:abstractNumId w:val="11"/>
  </w:num>
  <w:num w:numId="38">
    <w:abstractNumId w:val="48"/>
  </w:num>
  <w:num w:numId="39">
    <w:abstractNumId w:val="29"/>
  </w:num>
  <w:num w:numId="40">
    <w:abstractNumId w:val="32"/>
  </w:num>
  <w:num w:numId="41">
    <w:abstractNumId w:val="25"/>
  </w:num>
  <w:num w:numId="42">
    <w:abstractNumId w:val="16"/>
  </w:num>
  <w:num w:numId="43">
    <w:abstractNumId w:val="33"/>
  </w:num>
  <w:num w:numId="44">
    <w:abstractNumId w:val="9"/>
  </w:num>
  <w:num w:numId="45">
    <w:abstractNumId w:val="45"/>
  </w:num>
  <w:num w:numId="46">
    <w:abstractNumId w:val="31"/>
  </w:num>
  <w:num w:numId="47">
    <w:abstractNumId w:val="19"/>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378"/>
    <w:rsid w:val="00001717"/>
    <w:rsid w:val="0000486F"/>
    <w:rsid w:val="00010487"/>
    <w:rsid w:val="000111C5"/>
    <w:rsid w:val="000146D2"/>
    <w:rsid w:val="000158BB"/>
    <w:rsid w:val="00015EE1"/>
    <w:rsid w:val="00017260"/>
    <w:rsid w:val="00022944"/>
    <w:rsid w:val="000260DF"/>
    <w:rsid w:val="00027115"/>
    <w:rsid w:val="00030CC9"/>
    <w:rsid w:val="00045423"/>
    <w:rsid w:val="00050089"/>
    <w:rsid w:val="00050DFD"/>
    <w:rsid w:val="000628E9"/>
    <w:rsid w:val="00064A5D"/>
    <w:rsid w:val="0006600C"/>
    <w:rsid w:val="00066AB6"/>
    <w:rsid w:val="0007062A"/>
    <w:rsid w:val="00070F22"/>
    <w:rsid w:val="00071489"/>
    <w:rsid w:val="0007151C"/>
    <w:rsid w:val="00072C46"/>
    <w:rsid w:val="0007340B"/>
    <w:rsid w:val="00074100"/>
    <w:rsid w:val="000752AA"/>
    <w:rsid w:val="000C0E07"/>
    <w:rsid w:val="000C204E"/>
    <w:rsid w:val="000C7B87"/>
    <w:rsid w:val="000D0CA2"/>
    <w:rsid w:val="000D264D"/>
    <w:rsid w:val="000E2092"/>
    <w:rsid w:val="000E4994"/>
    <w:rsid w:val="000E5C01"/>
    <w:rsid w:val="00120993"/>
    <w:rsid w:val="00121A16"/>
    <w:rsid w:val="001317E0"/>
    <w:rsid w:val="00133552"/>
    <w:rsid w:val="00133F93"/>
    <w:rsid w:val="001444C3"/>
    <w:rsid w:val="00150EA0"/>
    <w:rsid w:val="0015454B"/>
    <w:rsid w:val="0015509B"/>
    <w:rsid w:val="0016024C"/>
    <w:rsid w:val="001725DA"/>
    <w:rsid w:val="00173B00"/>
    <w:rsid w:val="001768FA"/>
    <w:rsid w:val="0017760E"/>
    <w:rsid w:val="00184C67"/>
    <w:rsid w:val="00185767"/>
    <w:rsid w:val="00192D44"/>
    <w:rsid w:val="00197738"/>
    <w:rsid w:val="001A3785"/>
    <w:rsid w:val="001A4DCA"/>
    <w:rsid w:val="001B1AC5"/>
    <w:rsid w:val="001C61AE"/>
    <w:rsid w:val="001D48FA"/>
    <w:rsid w:val="001E005E"/>
    <w:rsid w:val="001E1E73"/>
    <w:rsid w:val="001F4656"/>
    <w:rsid w:val="001F4909"/>
    <w:rsid w:val="001F5FA9"/>
    <w:rsid w:val="001F6328"/>
    <w:rsid w:val="00200BAC"/>
    <w:rsid w:val="0020675A"/>
    <w:rsid w:val="00213A21"/>
    <w:rsid w:val="002156CA"/>
    <w:rsid w:val="002314B7"/>
    <w:rsid w:val="002317EE"/>
    <w:rsid w:val="00236356"/>
    <w:rsid w:val="00237F8E"/>
    <w:rsid w:val="00245A1A"/>
    <w:rsid w:val="00246596"/>
    <w:rsid w:val="00260885"/>
    <w:rsid w:val="00261BCF"/>
    <w:rsid w:val="00262050"/>
    <w:rsid w:val="00264425"/>
    <w:rsid w:val="0026591C"/>
    <w:rsid w:val="002666B2"/>
    <w:rsid w:val="00273CE0"/>
    <w:rsid w:val="00276ACE"/>
    <w:rsid w:val="00280D98"/>
    <w:rsid w:val="00286807"/>
    <w:rsid w:val="00290569"/>
    <w:rsid w:val="0029267E"/>
    <w:rsid w:val="00296782"/>
    <w:rsid w:val="0029752C"/>
    <w:rsid w:val="002A054F"/>
    <w:rsid w:val="002A060C"/>
    <w:rsid w:val="002A0829"/>
    <w:rsid w:val="002A3E3B"/>
    <w:rsid w:val="002A47A8"/>
    <w:rsid w:val="002A5E10"/>
    <w:rsid w:val="002A7893"/>
    <w:rsid w:val="002B05C5"/>
    <w:rsid w:val="002B3A45"/>
    <w:rsid w:val="002C5351"/>
    <w:rsid w:val="002C66C5"/>
    <w:rsid w:val="002C697F"/>
    <w:rsid w:val="002D05BE"/>
    <w:rsid w:val="002D070E"/>
    <w:rsid w:val="002D2B33"/>
    <w:rsid w:val="002D359F"/>
    <w:rsid w:val="002D58B0"/>
    <w:rsid w:val="002E06E1"/>
    <w:rsid w:val="002E697C"/>
    <w:rsid w:val="002F1073"/>
    <w:rsid w:val="002F2CF3"/>
    <w:rsid w:val="00301AA9"/>
    <w:rsid w:val="00303BBC"/>
    <w:rsid w:val="00303DF1"/>
    <w:rsid w:val="00305202"/>
    <w:rsid w:val="003053AF"/>
    <w:rsid w:val="003063C7"/>
    <w:rsid w:val="00307AC3"/>
    <w:rsid w:val="003109CD"/>
    <w:rsid w:val="0031271A"/>
    <w:rsid w:val="00312799"/>
    <w:rsid w:val="00322E03"/>
    <w:rsid w:val="00325D87"/>
    <w:rsid w:val="00330FC5"/>
    <w:rsid w:val="00341235"/>
    <w:rsid w:val="00345D87"/>
    <w:rsid w:val="00355759"/>
    <w:rsid w:val="00362BC4"/>
    <w:rsid w:val="0036637D"/>
    <w:rsid w:val="003756A5"/>
    <w:rsid w:val="00376EA4"/>
    <w:rsid w:val="003851E8"/>
    <w:rsid w:val="003870ED"/>
    <w:rsid w:val="00394234"/>
    <w:rsid w:val="00396ACB"/>
    <w:rsid w:val="003A0B9A"/>
    <w:rsid w:val="003A5F50"/>
    <w:rsid w:val="003A7893"/>
    <w:rsid w:val="003B7A5D"/>
    <w:rsid w:val="003C4BC1"/>
    <w:rsid w:val="003D3AA0"/>
    <w:rsid w:val="003D47EA"/>
    <w:rsid w:val="003D5EA7"/>
    <w:rsid w:val="003E31B8"/>
    <w:rsid w:val="003E67C8"/>
    <w:rsid w:val="003E7E76"/>
    <w:rsid w:val="003F07CD"/>
    <w:rsid w:val="003F0BF9"/>
    <w:rsid w:val="003F43D9"/>
    <w:rsid w:val="00406D76"/>
    <w:rsid w:val="0041147B"/>
    <w:rsid w:val="00411808"/>
    <w:rsid w:val="004173F2"/>
    <w:rsid w:val="004233C3"/>
    <w:rsid w:val="00432D1B"/>
    <w:rsid w:val="00433D67"/>
    <w:rsid w:val="00440833"/>
    <w:rsid w:val="00455BD8"/>
    <w:rsid w:val="00460AB3"/>
    <w:rsid w:val="00462D6A"/>
    <w:rsid w:val="00464D29"/>
    <w:rsid w:val="00465398"/>
    <w:rsid w:val="00465F22"/>
    <w:rsid w:val="004662C8"/>
    <w:rsid w:val="004724CD"/>
    <w:rsid w:val="00475E90"/>
    <w:rsid w:val="00480146"/>
    <w:rsid w:val="00481290"/>
    <w:rsid w:val="00490A4E"/>
    <w:rsid w:val="004917E2"/>
    <w:rsid w:val="00495167"/>
    <w:rsid w:val="004979B8"/>
    <w:rsid w:val="004A271E"/>
    <w:rsid w:val="004A45BB"/>
    <w:rsid w:val="004A4F7E"/>
    <w:rsid w:val="004A5BD2"/>
    <w:rsid w:val="004A6199"/>
    <w:rsid w:val="004B1742"/>
    <w:rsid w:val="004B7658"/>
    <w:rsid w:val="004C43C8"/>
    <w:rsid w:val="004D1CFA"/>
    <w:rsid w:val="004D22A6"/>
    <w:rsid w:val="004D35ED"/>
    <w:rsid w:val="004D5018"/>
    <w:rsid w:val="004D62B3"/>
    <w:rsid w:val="004E321B"/>
    <w:rsid w:val="004F0A65"/>
    <w:rsid w:val="004F69E4"/>
    <w:rsid w:val="005050F4"/>
    <w:rsid w:val="00505C61"/>
    <w:rsid w:val="00505FA7"/>
    <w:rsid w:val="0050782E"/>
    <w:rsid w:val="00507FF9"/>
    <w:rsid w:val="00516B6F"/>
    <w:rsid w:val="005225E1"/>
    <w:rsid w:val="0052467B"/>
    <w:rsid w:val="005324CF"/>
    <w:rsid w:val="00532DB8"/>
    <w:rsid w:val="00536FA1"/>
    <w:rsid w:val="00537600"/>
    <w:rsid w:val="005415FF"/>
    <w:rsid w:val="00542C4B"/>
    <w:rsid w:val="00545E3A"/>
    <w:rsid w:val="005466E1"/>
    <w:rsid w:val="005510F7"/>
    <w:rsid w:val="00551C69"/>
    <w:rsid w:val="00551FB1"/>
    <w:rsid w:val="00556366"/>
    <w:rsid w:val="00567CD9"/>
    <w:rsid w:val="00567CE6"/>
    <w:rsid w:val="00575CA5"/>
    <w:rsid w:val="005815E9"/>
    <w:rsid w:val="0058268D"/>
    <w:rsid w:val="00582834"/>
    <w:rsid w:val="0059298F"/>
    <w:rsid w:val="00597243"/>
    <w:rsid w:val="005A0C10"/>
    <w:rsid w:val="005A274E"/>
    <w:rsid w:val="005A4707"/>
    <w:rsid w:val="005A4DB2"/>
    <w:rsid w:val="005B1429"/>
    <w:rsid w:val="005B1C53"/>
    <w:rsid w:val="005B4B91"/>
    <w:rsid w:val="005B5045"/>
    <w:rsid w:val="005C0540"/>
    <w:rsid w:val="005C0904"/>
    <w:rsid w:val="005D5D5E"/>
    <w:rsid w:val="005D64F8"/>
    <w:rsid w:val="005E011F"/>
    <w:rsid w:val="005E0D91"/>
    <w:rsid w:val="005E5299"/>
    <w:rsid w:val="005F1516"/>
    <w:rsid w:val="005F656E"/>
    <w:rsid w:val="00601C3E"/>
    <w:rsid w:val="0061079D"/>
    <w:rsid w:val="00617D23"/>
    <w:rsid w:val="0062261D"/>
    <w:rsid w:val="00627D74"/>
    <w:rsid w:val="00630A9B"/>
    <w:rsid w:val="00634545"/>
    <w:rsid w:val="006419F7"/>
    <w:rsid w:val="00646F21"/>
    <w:rsid w:val="00647F9E"/>
    <w:rsid w:val="006529FB"/>
    <w:rsid w:val="00655AD3"/>
    <w:rsid w:val="00660224"/>
    <w:rsid w:val="00662823"/>
    <w:rsid w:val="00665BCF"/>
    <w:rsid w:val="006677FE"/>
    <w:rsid w:val="00670E29"/>
    <w:rsid w:val="006745AC"/>
    <w:rsid w:val="00686A51"/>
    <w:rsid w:val="006907D8"/>
    <w:rsid w:val="00690B55"/>
    <w:rsid w:val="0069589A"/>
    <w:rsid w:val="006970C7"/>
    <w:rsid w:val="006A480C"/>
    <w:rsid w:val="006B5A39"/>
    <w:rsid w:val="006B6617"/>
    <w:rsid w:val="006B7366"/>
    <w:rsid w:val="006C7C2C"/>
    <w:rsid w:val="006D5AA1"/>
    <w:rsid w:val="006D5F7B"/>
    <w:rsid w:val="006E20D8"/>
    <w:rsid w:val="006E5961"/>
    <w:rsid w:val="006E6BD8"/>
    <w:rsid w:val="006E798A"/>
    <w:rsid w:val="006F0EFB"/>
    <w:rsid w:val="006F1ACB"/>
    <w:rsid w:val="006F71F1"/>
    <w:rsid w:val="00704C50"/>
    <w:rsid w:val="007231A5"/>
    <w:rsid w:val="00724B4B"/>
    <w:rsid w:val="00727F29"/>
    <w:rsid w:val="00731C65"/>
    <w:rsid w:val="00732A0C"/>
    <w:rsid w:val="007330D9"/>
    <w:rsid w:val="007366CD"/>
    <w:rsid w:val="00740FE0"/>
    <w:rsid w:val="00744F13"/>
    <w:rsid w:val="007507BC"/>
    <w:rsid w:val="00750866"/>
    <w:rsid w:val="00761453"/>
    <w:rsid w:val="00765061"/>
    <w:rsid w:val="00767693"/>
    <w:rsid w:val="00770B82"/>
    <w:rsid w:val="00771817"/>
    <w:rsid w:val="00773E4D"/>
    <w:rsid w:val="0077703B"/>
    <w:rsid w:val="00781DB7"/>
    <w:rsid w:val="00782643"/>
    <w:rsid w:val="00782D38"/>
    <w:rsid w:val="00785D0F"/>
    <w:rsid w:val="00790D15"/>
    <w:rsid w:val="007932AA"/>
    <w:rsid w:val="00796E72"/>
    <w:rsid w:val="00797941"/>
    <w:rsid w:val="007A28DE"/>
    <w:rsid w:val="007A2A56"/>
    <w:rsid w:val="007A33E7"/>
    <w:rsid w:val="007A4696"/>
    <w:rsid w:val="007C0B5E"/>
    <w:rsid w:val="007C4423"/>
    <w:rsid w:val="007C78A0"/>
    <w:rsid w:val="007D07F0"/>
    <w:rsid w:val="007D41DD"/>
    <w:rsid w:val="007D74E0"/>
    <w:rsid w:val="007F5331"/>
    <w:rsid w:val="007F5CB8"/>
    <w:rsid w:val="0080720C"/>
    <w:rsid w:val="0081029D"/>
    <w:rsid w:val="00811CC3"/>
    <w:rsid w:val="00811CFE"/>
    <w:rsid w:val="00814061"/>
    <w:rsid w:val="008176F0"/>
    <w:rsid w:val="008214F5"/>
    <w:rsid w:val="00823655"/>
    <w:rsid w:val="00824554"/>
    <w:rsid w:val="008412AF"/>
    <w:rsid w:val="00841ACF"/>
    <w:rsid w:val="00843D10"/>
    <w:rsid w:val="00843F37"/>
    <w:rsid w:val="00844157"/>
    <w:rsid w:val="00844E31"/>
    <w:rsid w:val="008524D8"/>
    <w:rsid w:val="0085262A"/>
    <w:rsid w:val="0085462D"/>
    <w:rsid w:val="00855585"/>
    <w:rsid w:val="00856284"/>
    <w:rsid w:val="00857D7D"/>
    <w:rsid w:val="0086452A"/>
    <w:rsid w:val="00864DDE"/>
    <w:rsid w:val="00866FC0"/>
    <w:rsid w:val="00870F65"/>
    <w:rsid w:val="00872967"/>
    <w:rsid w:val="00875B32"/>
    <w:rsid w:val="00875C30"/>
    <w:rsid w:val="0087659C"/>
    <w:rsid w:val="008768AF"/>
    <w:rsid w:val="00880A9E"/>
    <w:rsid w:val="00882716"/>
    <w:rsid w:val="00887EA5"/>
    <w:rsid w:val="008936AC"/>
    <w:rsid w:val="008A1B78"/>
    <w:rsid w:val="008A2EE7"/>
    <w:rsid w:val="008B0130"/>
    <w:rsid w:val="008B1736"/>
    <w:rsid w:val="008C13B6"/>
    <w:rsid w:val="008C2C16"/>
    <w:rsid w:val="008C5768"/>
    <w:rsid w:val="008C7508"/>
    <w:rsid w:val="008E4708"/>
    <w:rsid w:val="008E5226"/>
    <w:rsid w:val="008F07A0"/>
    <w:rsid w:val="008F172A"/>
    <w:rsid w:val="00902A2B"/>
    <w:rsid w:val="0091066C"/>
    <w:rsid w:val="00924647"/>
    <w:rsid w:val="00924BCE"/>
    <w:rsid w:val="009251DB"/>
    <w:rsid w:val="00927455"/>
    <w:rsid w:val="009316A7"/>
    <w:rsid w:val="00934FC2"/>
    <w:rsid w:val="0093752E"/>
    <w:rsid w:val="00941C3C"/>
    <w:rsid w:val="0095032E"/>
    <w:rsid w:val="00950572"/>
    <w:rsid w:val="009520E2"/>
    <w:rsid w:val="009615FB"/>
    <w:rsid w:val="00963A0F"/>
    <w:rsid w:val="0096591A"/>
    <w:rsid w:val="00966A88"/>
    <w:rsid w:val="009763C4"/>
    <w:rsid w:val="00986E43"/>
    <w:rsid w:val="00993685"/>
    <w:rsid w:val="00993B54"/>
    <w:rsid w:val="009A0502"/>
    <w:rsid w:val="009A1F3C"/>
    <w:rsid w:val="009A5F4D"/>
    <w:rsid w:val="009B6898"/>
    <w:rsid w:val="009B6903"/>
    <w:rsid w:val="009C0102"/>
    <w:rsid w:val="009C110C"/>
    <w:rsid w:val="009D1B22"/>
    <w:rsid w:val="009D6BC1"/>
    <w:rsid w:val="009D7DBB"/>
    <w:rsid w:val="009F42D1"/>
    <w:rsid w:val="009F619C"/>
    <w:rsid w:val="00A00195"/>
    <w:rsid w:val="00A0418B"/>
    <w:rsid w:val="00A064C8"/>
    <w:rsid w:val="00A06573"/>
    <w:rsid w:val="00A070D2"/>
    <w:rsid w:val="00A1424B"/>
    <w:rsid w:val="00A204D1"/>
    <w:rsid w:val="00A20CC7"/>
    <w:rsid w:val="00A26925"/>
    <w:rsid w:val="00A26A2D"/>
    <w:rsid w:val="00A311E6"/>
    <w:rsid w:val="00A3229A"/>
    <w:rsid w:val="00A36232"/>
    <w:rsid w:val="00A37058"/>
    <w:rsid w:val="00A37FD6"/>
    <w:rsid w:val="00A40F89"/>
    <w:rsid w:val="00A53FEC"/>
    <w:rsid w:val="00A55881"/>
    <w:rsid w:val="00A64F67"/>
    <w:rsid w:val="00A66489"/>
    <w:rsid w:val="00A7116F"/>
    <w:rsid w:val="00A719C2"/>
    <w:rsid w:val="00A72FAE"/>
    <w:rsid w:val="00A736BF"/>
    <w:rsid w:val="00A759DF"/>
    <w:rsid w:val="00A82AA5"/>
    <w:rsid w:val="00A9197F"/>
    <w:rsid w:val="00A93823"/>
    <w:rsid w:val="00A96C8D"/>
    <w:rsid w:val="00A96FDC"/>
    <w:rsid w:val="00AA55EA"/>
    <w:rsid w:val="00AA73ED"/>
    <w:rsid w:val="00AB1649"/>
    <w:rsid w:val="00AB3B5F"/>
    <w:rsid w:val="00AB542D"/>
    <w:rsid w:val="00AC2D4B"/>
    <w:rsid w:val="00AC579C"/>
    <w:rsid w:val="00AD1FE6"/>
    <w:rsid w:val="00AD5133"/>
    <w:rsid w:val="00AD67A1"/>
    <w:rsid w:val="00AD6D18"/>
    <w:rsid w:val="00AE1427"/>
    <w:rsid w:val="00AE4112"/>
    <w:rsid w:val="00AE7EB3"/>
    <w:rsid w:val="00AF0755"/>
    <w:rsid w:val="00B05F7A"/>
    <w:rsid w:val="00B11CC7"/>
    <w:rsid w:val="00B160B2"/>
    <w:rsid w:val="00B20A4F"/>
    <w:rsid w:val="00B21BD1"/>
    <w:rsid w:val="00B2451E"/>
    <w:rsid w:val="00B30F0A"/>
    <w:rsid w:val="00B42967"/>
    <w:rsid w:val="00B479FB"/>
    <w:rsid w:val="00B52DA2"/>
    <w:rsid w:val="00B5575A"/>
    <w:rsid w:val="00B66E50"/>
    <w:rsid w:val="00B70EC5"/>
    <w:rsid w:val="00B735DA"/>
    <w:rsid w:val="00B77326"/>
    <w:rsid w:val="00B83CD0"/>
    <w:rsid w:val="00B85F1C"/>
    <w:rsid w:val="00B86175"/>
    <w:rsid w:val="00B90224"/>
    <w:rsid w:val="00B929FB"/>
    <w:rsid w:val="00BA4069"/>
    <w:rsid w:val="00BA4121"/>
    <w:rsid w:val="00BA7F25"/>
    <w:rsid w:val="00BB2861"/>
    <w:rsid w:val="00BB418C"/>
    <w:rsid w:val="00BC569B"/>
    <w:rsid w:val="00BD0D48"/>
    <w:rsid w:val="00BD1564"/>
    <w:rsid w:val="00BD1B18"/>
    <w:rsid w:val="00BD1BE0"/>
    <w:rsid w:val="00BD2EE4"/>
    <w:rsid w:val="00BD3D50"/>
    <w:rsid w:val="00BE1861"/>
    <w:rsid w:val="00BE3CD6"/>
    <w:rsid w:val="00BE68E1"/>
    <w:rsid w:val="00BE7FCD"/>
    <w:rsid w:val="00BF0A4C"/>
    <w:rsid w:val="00BF0C28"/>
    <w:rsid w:val="00BF749C"/>
    <w:rsid w:val="00C0119C"/>
    <w:rsid w:val="00C03CC8"/>
    <w:rsid w:val="00C0439B"/>
    <w:rsid w:val="00C13F52"/>
    <w:rsid w:val="00C15EE7"/>
    <w:rsid w:val="00C20BF7"/>
    <w:rsid w:val="00C37109"/>
    <w:rsid w:val="00C51295"/>
    <w:rsid w:val="00C5353B"/>
    <w:rsid w:val="00C54187"/>
    <w:rsid w:val="00C56160"/>
    <w:rsid w:val="00C57C3F"/>
    <w:rsid w:val="00C57E8E"/>
    <w:rsid w:val="00C63476"/>
    <w:rsid w:val="00C63F26"/>
    <w:rsid w:val="00C65427"/>
    <w:rsid w:val="00C74007"/>
    <w:rsid w:val="00C74B61"/>
    <w:rsid w:val="00C74CD4"/>
    <w:rsid w:val="00C752A2"/>
    <w:rsid w:val="00C77559"/>
    <w:rsid w:val="00C944E4"/>
    <w:rsid w:val="00C94D18"/>
    <w:rsid w:val="00C952EF"/>
    <w:rsid w:val="00C963E8"/>
    <w:rsid w:val="00CA4783"/>
    <w:rsid w:val="00CB5E9C"/>
    <w:rsid w:val="00CB70CB"/>
    <w:rsid w:val="00CC6451"/>
    <w:rsid w:val="00CC65FE"/>
    <w:rsid w:val="00CD44B8"/>
    <w:rsid w:val="00CE280F"/>
    <w:rsid w:val="00CE379C"/>
    <w:rsid w:val="00CE62D4"/>
    <w:rsid w:val="00CF0803"/>
    <w:rsid w:val="00CF1675"/>
    <w:rsid w:val="00CF38A6"/>
    <w:rsid w:val="00CF50DB"/>
    <w:rsid w:val="00D03408"/>
    <w:rsid w:val="00D05CC2"/>
    <w:rsid w:val="00D13119"/>
    <w:rsid w:val="00D21048"/>
    <w:rsid w:val="00D224C1"/>
    <w:rsid w:val="00D27E2D"/>
    <w:rsid w:val="00D31C82"/>
    <w:rsid w:val="00D347E3"/>
    <w:rsid w:val="00D3740B"/>
    <w:rsid w:val="00D37BE7"/>
    <w:rsid w:val="00D40E44"/>
    <w:rsid w:val="00D44116"/>
    <w:rsid w:val="00D47047"/>
    <w:rsid w:val="00D60E05"/>
    <w:rsid w:val="00D702DD"/>
    <w:rsid w:val="00D721D0"/>
    <w:rsid w:val="00D824D0"/>
    <w:rsid w:val="00D904DC"/>
    <w:rsid w:val="00D90F0F"/>
    <w:rsid w:val="00D94523"/>
    <w:rsid w:val="00D95548"/>
    <w:rsid w:val="00D96C30"/>
    <w:rsid w:val="00DA1CF4"/>
    <w:rsid w:val="00DB0009"/>
    <w:rsid w:val="00DB0406"/>
    <w:rsid w:val="00DB1CF6"/>
    <w:rsid w:val="00DB6CF5"/>
    <w:rsid w:val="00DC4D10"/>
    <w:rsid w:val="00DC588E"/>
    <w:rsid w:val="00DC71CC"/>
    <w:rsid w:val="00DD1DBE"/>
    <w:rsid w:val="00DD5BB7"/>
    <w:rsid w:val="00DD69F1"/>
    <w:rsid w:val="00DD7589"/>
    <w:rsid w:val="00DE0773"/>
    <w:rsid w:val="00DE1DD9"/>
    <w:rsid w:val="00DE5EB7"/>
    <w:rsid w:val="00DE7CFD"/>
    <w:rsid w:val="00DF0BE4"/>
    <w:rsid w:val="00E02643"/>
    <w:rsid w:val="00E031B9"/>
    <w:rsid w:val="00E031E6"/>
    <w:rsid w:val="00E1001D"/>
    <w:rsid w:val="00E15457"/>
    <w:rsid w:val="00E17A11"/>
    <w:rsid w:val="00E20CE5"/>
    <w:rsid w:val="00E23598"/>
    <w:rsid w:val="00E25EDE"/>
    <w:rsid w:val="00E273DA"/>
    <w:rsid w:val="00E30F90"/>
    <w:rsid w:val="00E343B9"/>
    <w:rsid w:val="00E40C80"/>
    <w:rsid w:val="00E43C8F"/>
    <w:rsid w:val="00E43D39"/>
    <w:rsid w:val="00E45D2A"/>
    <w:rsid w:val="00E55DE7"/>
    <w:rsid w:val="00E61498"/>
    <w:rsid w:val="00E61CD7"/>
    <w:rsid w:val="00E67BE5"/>
    <w:rsid w:val="00E701C4"/>
    <w:rsid w:val="00E7631B"/>
    <w:rsid w:val="00E82E49"/>
    <w:rsid w:val="00E82EA5"/>
    <w:rsid w:val="00E85B2A"/>
    <w:rsid w:val="00E90778"/>
    <w:rsid w:val="00E918E2"/>
    <w:rsid w:val="00EA5038"/>
    <w:rsid w:val="00EB1743"/>
    <w:rsid w:val="00EC464B"/>
    <w:rsid w:val="00ED4288"/>
    <w:rsid w:val="00EE00A8"/>
    <w:rsid w:val="00EF30FB"/>
    <w:rsid w:val="00F0178A"/>
    <w:rsid w:val="00F035F9"/>
    <w:rsid w:val="00F04572"/>
    <w:rsid w:val="00F054B5"/>
    <w:rsid w:val="00F10224"/>
    <w:rsid w:val="00F119C1"/>
    <w:rsid w:val="00F14C91"/>
    <w:rsid w:val="00F16392"/>
    <w:rsid w:val="00F17620"/>
    <w:rsid w:val="00F25C03"/>
    <w:rsid w:val="00F336D7"/>
    <w:rsid w:val="00F34BBB"/>
    <w:rsid w:val="00F370D4"/>
    <w:rsid w:val="00F37136"/>
    <w:rsid w:val="00F37C46"/>
    <w:rsid w:val="00F40BAD"/>
    <w:rsid w:val="00F45850"/>
    <w:rsid w:val="00F461BD"/>
    <w:rsid w:val="00F53742"/>
    <w:rsid w:val="00F5396C"/>
    <w:rsid w:val="00F54658"/>
    <w:rsid w:val="00F55C80"/>
    <w:rsid w:val="00F610BD"/>
    <w:rsid w:val="00F62DBD"/>
    <w:rsid w:val="00F71329"/>
    <w:rsid w:val="00F7405A"/>
    <w:rsid w:val="00F7545A"/>
    <w:rsid w:val="00F76A3D"/>
    <w:rsid w:val="00F77656"/>
    <w:rsid w:val="00F8600B"/>
    <w:rsid w:val="00F94790"/>
    <w:rsid w:val="00FB1DE7"/>
    <w:rsid w:val="00FB6D54"/>
    <w:rsid w:val="00FC42AC"/>
    <w:rsid w:val="00FD443A"/>
    <w:rsid w:val="00FD651C"/>
    <w:rsid w:val="00FD7168"/>
    <w:rsid w:val="00FD7A06"/>
    <w:rsid w:val="00FE009A"/>
    <w:rsid w:val="00FE3E93"/>
    <w:rsid w:val="00FF3B45"/>
    <w:rsid w:val="00FF5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47D09"/>
  <w15:chartTrackingRefBased/>
  <w15:docId w15:val="{F8EA07E8-BC59-40BB-BA7B-4D4BEBE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30"/>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432D1B"/>
    <w:pPr>
      <w:keepNext/>
      <w:spacing w:before="240" w:after="60" w:line="240" w:lineRule="auto"/>
      <w:outlineLvl w:val="0"/>
    </w:pPr>
    <w:rPr>
      <w:rFonts w:ascii="Arial" w:hAnsi="Arial"/>
      <w:b/>
      <w:bCs/>
      <w:kern w:val="32"/>
      <w:sz w:val="32"/>
      <w:szCs w:val="32"/>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2D1B"/>
    <w:rPr>
      <w:rFonts w:ascii="Arial" w:hAnsi="Arial" w:cs="Arial"/>
      <w:b/>
      <w:bCs/>
      <w:kern w:val="32"/>
      <w:sz w:val="32"/>
      <w:szCs w:val="32"/>
      <w:lang w:eastAsia="lt-LT"/>
    </w:rPr>
  </w:style>
  <w:style w:type="paragraph" w:styleId="ListParagraph">
    <w:name w:val="List Paragraph"/>
    <w:basedOn w:val="Normal"/>
    <w:uiPriority w:val="34"/>
    <w:qFormat/>
    <w:rsid w:val="00D96C30"/>
    <w:pPr>
      <w:ind w:left="720"/>
    </w:pPr>
  </w:style>
  <w:style w:type="paragraph" w:styleId="BalloonText">
    <w:name w:val="Balloon Text"/>
    <w:basedOn w:val="Normal"/>
    <w:link w:val="BalloonTextChar"/>
    <w:uiPriority w:val="99"/>
    <w:semiHidden/>
    <w:rsid w:val="005415FF"/>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5415FF"/>
    <w:rPr>
      <w:rFonts w:ascii="Tahoma" w:eastAsia="Times New Roman" w:hAnsi="Tahoma" w:cs="Tahoma"/>
      <w:sz w:val="16"/>
      <w:szCs w:val="16"/>
    </w:rPr>
  </w:style>
  <w:style w:type="paragraph" w:customStyle="1" w:styleId="Patvirtinta">
    <w:name w:val="Patvirtinta"/>
    <w:basedOn w:val="Normal"/>
    <w:uiPriority w:val="99"/>
    <w:rsid w:val="00EF30F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US" w:eastAsia="lt-LT"/>
    </w:rPr>
  </w:style>
  <w:style w:type="paragraph" w:styleId="Header">
    <w:name w:val="header"/>
    <w:basedOn w:val="Normal"/>
    <w:link w:val="Head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HeaderChar">
    <w:name w:val="Header Char"/>
    <w:link w:val="Header"/>
    <w:uiPriority w:val="99"/>
    <w:locked/>
    <w:rsid w:val="000C204E"/>
    <w:rPr>
      <w:rFonts w:ascii="Times New Roman" w:eastAsia="Times New Roman" w:hAnsi="Times New Roman" w:cs="Times New Roman"/>
      <w:sz w:val="24"/>
      <w:szCs w:val="24"/>
    </w:rPr>
  </w:style>
  <w:style w:type="paragraph" w:styleId="Footer">
    <w:name w:val="footer"/>
    <w:basedOn w:val="Normal"/>
    <w:link w:val="FooterChar"/>
    <w:uiPriority w:val="99"/>
    <w:rsid w:val="000C204E"/>
    <w:pPr>
      <w:tabs>
        <w:tab w:val="center" w:pos="4819"/>
        <w:tab w:val="right" w:pos="9638"/>
      </w:tabs>
      <w:spacing w:after="0" w:line="240" w:lineRule="auto"/>
    </w:pPr>
    <w:rPr>
      <w:rFonts w:eastAsia="Times New Roman"/>
      <w:lang w:val="x-none" w:eastAsia="x-none"/>
    </w:rPr>
  </w:style>
  <w:style w:type="character" w:customStyle="1" w:styleId="FooterChar">
    <w:name w:val="Footer Char"/>
    <w:link w:val="Footer"/>
    <w:uiPriority w:val="99"/>
    <w:locked/>
    <w:rsid w:val="000C204E"/>
    <w:rPr>
      <w:rFonts w:ascii="Times New Roman" w:eastAsia="Times New Roman" w:hAnsi="Times New Roman" w:cs="Times New Roman"/>
      <w:sz w:val="24"/>
      <w:szCs w:val="24"/>
    </w:rPr>
  </w:style>
  <w:style w:type="character" w:styleId="CommentReference">
    <w:name w:val="annotation reference"/>
    <w:uiPriority w:val="99"/>
    <w:semiHidden/>
    <w:rsid w:val="00BD1BE0"/>
    <w:rPr>
      <w:sz w:val="16"/>
      <w:szCs w:val="16"/>
    </w:rPr>
  </w:style>
  <w:style w:type="paragraph" w:styleId="CommentText">
    <w:name w:val="annotation text"/>
    <w:basedOn w:val="Normal"/>
    <w:link w:val="CommentTextChar"/>
    <w:uiPriority w:val="99"/>
    <w:semiHidden/>
    <w:rsid w:val="00BD1BE0"/>
    <w:pPr>
      <w:spacing w:line="240" w:lineRule="auto"/>
    </w:pPr>
    <w:rPr>
      <w:rFonts w:eastAsia="Times New Roman"/>
      <w:sz w:val="20"/>
      <w:szCs w:val="20"/>
      <w:lang w:val="x-none" w:eastAsia="x-none"/>
    </w:rPr>
  </w:style>
  <w:style w:type="character" w:customStyle="1" w:styleId="CommentTextChar">
    <w:name w:val="Comment Text Char"/>
    <w:link w:val="CommentText"/>
    <w:uiPriority w:val="99"/>
    <w:semiHidden/>
    <w:locked/>
    <w:rsid w:val="00BD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1BE0"/>
    <w:rPr>
      <w:b/>
      <w:bCs/>
    </w:rPr>
  </w:style>
  <w:style w:type="character" w:customStyle="1" w:styleId="CommentSubjectChar">
    <w:name w:val="Comment Subject Char"/>
    <w:link w:val="CommentSubject"/>
    <w:uiPriority w:val="99"/>
    <w:semiHidden/>
    <w:locked/>
    <w:rsid w:val="00BD1BE0"/>
    <w:rPr>
      <w:rFonts w:ascii="Times New Roman" w:eastAsia="Times New Roman" w:hAnsi="Times New Roman" w:cs="Times New Roman"/>
      <w:b/>
      <w:bCs/>
      <w:sz w:val="20"/>
      <w:szCs w:val="20"/>
    </w:rPr>
  </w:style>
  <w:style w:type="character" w:styleId="Strong">
    <w:name w:val="Strong"/>
    <w:uiPriority w:val="99"/>
    <w:qFormat/>
    <w:rsid w:val="00A26925"/>
    <w:rPr>
      <w:b/>
      <w:bCs/>
    </w:rPr>
  </w:style>
  <w:style w:type="paragraph" w:customStyle="1" w:styleId="ListParagraph1">
    <w:name w:val="List Paragraph1"/>
    <w:basedOn w:val="Normal"/>
    <w:uiPriority w:val="99"/>
    <w:rsid w:val="00245A1A"/>
    <w:pPr>
      <w:ind w:left="720"/>
    </w:pPr>
  </w:style>
  <w:style w:type="paragraph" w:customStyle="1" w:styleId="BodyText1">
    <w:name w:val="Body Text1"/>
    <w:basedOn w:val="Normal"/>
    <w:uiPriority w:val="99"/>
    <w:rsid w:val="00CC65FE"/>
    <w:pPr>
      <w:suppressAutoHyphens/>
      <w:autoSpaceDE w:val="0"/>
      <w:autoSpaceDN w:val="0"/>
      <w:adjustRightInd w:val="0"/>
      <w:spacing w:after="0" w:line="297" w:lineRule="auto"/>
      <w:ind w:firstLine="312"/>
      <w:jc w:val="both"/>
    </w:pPr>
    <w:rPr>
      <w:rFonts w:eastAsia="Times New Roman"/>
      <w:color w:val="000000"/>
      <w:sz w:val="20"/>
      <w:szCs w:val="20"/>
    </w:rPr>
  </w:style>
  <w:style w:type="paragraph" w:customStyle="1" w:styleId="tip">
    <w:name w:val="tip"/>
    <w:basedOn w:val="Normal"/>
    <w:uiPriority w:val="99"/>
    <w:rsid w:val="00200BAC"/>
    <w:pPr>
      <w:spacing w:before="100" w:beforeAutospacing="1" w:after="100" w:afterAutospacing="1" w:line="240" w:lineRule="auto"/>
    </w:pPr>
    <w:rPr>
      <w:lang w:eastAsia="lt-LT"/>
    </w:rPr>
  </w:style>
  <w:style w:type="paragraph" w:styleId="FootnoteText">
    <w:name w:val="footnote text"/>
    <w:basedOn w:val="Normal"/>
    <w:link w:val="FootnoteTextChar"/>
    <w:uiPriority w:val="99"/>
    <w:semiHidden/>
    <w:unhideWhenUsed/>
    <w:rsid w:val="00B77326"/>
    <w:pPr>
      <w:spacing w:after="0" w:line="240" w:lineRule="auto"/>
    </w:pPr>
    <w:rPr>
      <w:sz w:val="20"/>
      <w:szCs w:val="20"/>
    </w:rPr>
  </w:style>
  <w:style w:type="character" w:customStyle="1" w:styleId="FootnoteTextChar">
    <w:name w:val="Footnote Text Char"/>
    <w:link w:val="FootnoteText"/>
    <w:uiPriority w:val="99"/>
    <w:semiHidden/>
    <w:rsid w:val="00B77326"/>
    <w:rPr>
      <w:rFonts w:ascii="Times New Roman" w:hAnsi="Times New Roman"/>
      <w:lang w:eastAsia="en-US"/>
    </w:rPr>
  </w:style>
  <w:style w:type="character" w:styleId="FootnoteReference">
    <w:name w:val="footnote reference"/>
    <w:uiPriority w:val="99"/>
    <w:semiHidden/>
    <w:unhideWhenUsed/>
    <w:rsid w:val="00B77326"/>
    <w:rPr>
      <w:vertAlign w:val="superscript"/>
    </w:rPr>
  </w:style>
  <w:style w:type="character" w:styleId="Emphasis">
    <w:name w:val="Emphasis"/>
    <w:uiPriority w:val="20"/>
    <w:qFormat/>
    <w:locked/>
    <w:rsid w:val="001E1E73"/>
    <w:rPr>
      <w:i/>
      <w:iCs/>
    </w:rPr>
  </w:style>
  <w:style w:type="paragraph" w:customStyle="1" w:styleId="ACEBodyText">
    <w:name w:val="ACE Body Text"/>
    <w:rsid w:val="00050DFD"/>
    <w:pPr>
      <w:spacing w:line="320" w:lineRule="atLeast"/>
    </w:pPr>
    <w:rPr>
      <w:rFonts w:ascii="Arial" w:eastAsia="Times New Roman" w:hAnsi="Arial" w:cs="Arial"/>
      <w:sz w:val="24"/>
      <w:szCs w:val="24"/>
      <w:lang w:val="en-GB" w:eastAsia="en-GB"/>
    </w:rPr>
  </w:style>
  <w:style w:type="paragraph" w:styleId="Revision">
    <w:name w:val="Revision"/>
    <w:hidden/>
    <w:uiPriority w:val="99"/>
    <w:semiHidden/>
    <w:rsid w:val="006E798A"/>
    <w:rPr>
      <w:rFonts w:ascii="Times New Roman" w:hAnsi="Times New Roman"/>
      <w:sz w:val="24"/>
      <w:szCs w:val="24"/>
      <w:lang w:eastAsia="en-US"/>
    </w:rPr>
  </w:style>
  <w:style w:type="character" w:styleId="Hyperlink">
    <w:name w:val="Hyperlink"/>
    <w:uiPriority w:val="99"/>
    <w:unhideWhenUsed/>
    <w:rsid w:val="00941C3C"/>
    <w:rPr>
      <w:color w:val="0000FF"/>
      <w:u w:val="single"/>
    </w:rPr>
  </w:style>
  <w:style w:type="character" w:styleId="FollowedHyperlink">
    <w:name w:val="FollowedHyperlink"/>
    <w:uiPriority w:val="99"/>
    <w:semiHidden/>
    <w:unhideWhenUsed/>
    <w:rsid w:val="00542C4B"/>
    <w:rPr>
      <w:color w:val="800080"/>
      <w:u w:val="single"/>
    </w:rPr>
  </w:style>
  <w:style w:type="character" w:customStyle="1" w:styleId="None">
    <w:name w:val="None"/>
    <w:rsid w:val="00237F8E"/>
  </w:style>
  <w:style w:type="numbering" w:customStyle="1" w:styleId="ImportedStyle6">
    <w:name w:val="Imported Style 6"/>
    <w:rsid w:val="00237F8E"/>
    <w:pPr>
      <w:numPr>
        <w:numId w:val="34"/>
      </w:numPr>
    </w:pPr>
  </w:style>
  <w:style w:type="paragraph" w:styleId="EndnoteText">
    <w:name w:val="endnote text"/>
    <w:basedOn w:val="Normal"/>
    <w:link w:val="EndnoteTextChar"/>
    <w:uiPriority w:val="99"/>
    <w:semiHidden/>
    <w:unhideWhenUsed/>
    <w:rsid w:val="006E20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20D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697">
      <w:marLeft w:val="0"/>
      <w:marRight w:val="0"/>
      <w:marTop w:val="0"/>
      <w:marBottom w:val="0"/>
      <w:divBdr>
        <w:top w:val="none" w:sz="0" w:space="0" w:color="auto"/>
        <w:left w:val="none" w:sz="0" w:space="0" w:color="auto"/>
        <w:bottom w:val="none" w:sz="0" w:space="0" w:color="auto"/>
        <w:right w:val="none" w:sz="0" w:space="0" w:color="auto"/>
      </w:divBdr>
    </w:div>
    <w:div w:id="664867698">
      <w:marLeft w:val="0"/>
      <w:marRight w:val="0"/>
      <w:marTop w:val="0"/>
      <w:marBottom w:val="0"/>
      <w:divBdr>
        <w:top w:val="none" w:sz="0" w:space="0" w:color="auto"/>
        <w:left w:val="none" w:sz="0" w:space="0" w:color="auto"/>
        <w:bottom w:val="none" w:sz="0" w:space="0" w:color="auto"/>
        <w:right w:val="none" w:sz="0" w:space="0" w:color="auto"/>
      </w:divBdr>
    </w:div>
    <w:div w:id="664867699">
      <w:marLeft w:val="0"/>
      <w:marRight w:val="0"/>
      <w:marTop w:val="0"/>
      <w:marBottom w:val="0"/>
      <w:divBdr>
        <w:top w:val="none" w:sz="0" w:space="0" w:color="auto"/>
        <w:left w:val="none" w:sz="0" w:space="0" w:color="auto"/>
        <w:bottom w:val="none" w:sz="0" w:space="0" w:color="auto"/>
        <w:right w:val="none" w:sz="0" w:space="0" w:color="auto"/>
      </w:divBdr>
    </w:div>
    <w:div w:id="664867700">
      <w:marLeft w:val="0"/>
      <w:marRight w:val="0"/>
      <w:marTop w:val="0"/>
      <w:marBottom w:val="0"/>
      <w:divBdr>
        <w:top w:val="none" w:sz="0" w:space="0" w:color="auto"/>
        <w:left w:val="none" w:sz="0" w:space="0" w:color="auto"/>
        <w:bottom w:val="none" w:sz="0" w:space="0" w:color="auto"/>
        <w:right w:val="none" w:sz="0" w:space="0" w:color="auto"/>
      </w:divBdr>
    </w:div>
    <w:div w:id="664867701">
      <w:marLeft w:val="0"/>
      <w:marRight w:val="0"/>
      <w:marTop w:val="0"/>
      <w:marBottom w:val="0"/>
      <w:divBdr>
        <w:top w:val="none" w:sz="0" w:space="0" w:color="auto"/>
        <w:left w:val="none" w:sz="0" w:space="0" w:color="auto"/>
        <w:bottom w:val="none" w:sz="0" w:space="0" w:color="auto"/>
        <w:right w:val="none" w:sz="0" w:space="0" w:color="auto"/>
      </w:divBdr>
    </w:div>
    <w:div w:id="664867702">
      <w:marLeft w:val="0"/>
      <w:marRight w:val="0"/>
      <w:marTop w:val="0"/>
      <w:marBottom w:val="0"/>
      <w:divBdr>
        <w:top w:val="none" w:sz="0" w:space="0" w:color="auto"/>
        <w:left w:val="none" w:sz="0" w:space="0" w:color="auto"/>
        <w:bottom w:val="none" w:sz="0" w:space="0" w:color="auto"/>
        <w:right w:val="none" w:sz="0" w:space="0" w:color="auto"/>
      </w:divBdr>
    </w:div>
    <w:div w:id="1380743251">
      <w:bodyDiv w:val="1"/>
      <w:marLeft w:val="0"/>
      <w:marRight w:val="0"/>
      <w:marTop w:val="0"/>
      <w:marBottom w:val="0"/>
      <w:divBdr>
        <w:top w:val="none" w:sz="0" w:space="0" w:color="auto"/>
        <w:left w:val="none" w:sz="0" w:space="0" w:color="auto"/>
        <w:bottom w:val="none" w:sz="0" w:space="0" w:color="auto"/>
        <w:right w:val="none" w:sz="0" w:space="0" w:color="auto"/>
      </w:divBdr>
    </w:div>
    <w:div w:id="1752508678">
      <w:bodyDiv w:val="1"/>
      <w:marLeft w:val="0"/>
      <w:marRight w:val="0"/>
      <w:marTop w:val="0"/>
      <w:marBottom w:val="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1803498721">
              <w:marLeft w:val="0"/>
              <w:marRight w:val="0"/>
              <w:marTop w:val="0"/>
              <w:marBottom w:val="0"/>
              <w:divBdr>
                <w:top w:val="none" w:sz="0" w:space="0" w:color="auto"/>
                <w:left w:val="none" w:sz="0" w:space="0" w:color="auto"/>
                <w:bottom w:val="none" w:sz="0" w:space="0" w:color="auto"/>
                <w:right w:val="none" w:sz="0" w:space="0" w:color="auto"/>
              </w:divBdr>
              <w:divsChild>
                <w:div w:id="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ndrasisplanas.lt/interaktyvus-duomenys/"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4B16-0CF2-4D2D-A817-95F3FAC742DC}">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262c3b82-7ed8-4eac-a6c2-d2f08a866584"/>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4703A2A-DB7A-4D7C-A886-8D151DD10BC2}">
  <ds:schemaRefs>
    <ds:schemaRef ds:uri="http://schemas.microsoft.com/sharepoint/v3/contenttype/forms"/>
  </ds:schemaRefs>
</ds:datastoreItem>
</file>

<file path=customXml/itemProps3.xml><?xml version="1.0" encoding="utf-8"?>
<ds:datastoreItem xmlns:ds="http://schemas.openxmlformats.org/officeDocument/2006/customXml" ds:itemID="{E4B02693-60EF-4ABB-B1B0-EB5B27CD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7D171-56E8-4D2A-A4F7-6F2AA23F8649}">
  <ds:schemaRefs>
    <ds:schemaRef ds:uri="http://schemas.openxmlformats.org/officeDocument/2006/bibliography"/>
  </ds:schemaRefs>
</ds:datastoreItem>
</file>

<file path=customXml/itemProps5.xml><?xml version="1.0" encoding="utf-8"?>
<ds:datastoreItem xmlns:ds="http://schemas.openxmlformats.org/officeDocument/2006/customXml" ds:itemID="{49C9471F-6186-4C8D-8E28-00CF0CFD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Gairių pareiškėjams bendrai Lietuvos Respublikos ir Europos ekonominės erdvės finansinio mechanizmo paramai gauti pagal programą „Kultūros ir gamtos paveldo išsaugojimas ir atgaivinimas“</vt:lpstr>
      <vt:lpstr>Gairių pareiškėjams bendrai Lietuvos Respublikos ir Europos ekonominės erdvės finansinio mechanizmo paramai gauti pagal programą „Kultūros ir gamtos paveldo išsaugojimas ir atgaivinimas“</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pareiškėjams bendrai Lietuvos Respublikos ir Europos ekonominės erdvės finansinio mechanizmo paramai gauti pagal programą „Kultūros ir gamtos paveldo išsaugojimas ir atgaivinimas“</dc:title>
  <dc:subject/>
  <dc:creator>Egle Mecinskaite</dc:creator>
  <cp:keywords/>
  <cp:lastModifiedBy>Lina Janionytė</cp:lastModifiedBy>
  <cp:revision>3</cp:revision>
  <cp:lastPrinted>2014-04-01T11:04:00Z</cp:lastPrinted>
  <dcterms:created xsi:type="dcterms:W3CDTF">2020-07-13T11:30:00Z</dcterms:created>
  <dcterms:modified xsi:type="dcterms:W3CDTF">2020-07-27T05:48:00Z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y fmtid="{D5CDD505-2E9C-101B-9397-08002B2CF9AE}" pid="3" name="Year">
    <vt:lpwstr>2018</vt:lpwstr>
  </property>
  <property fmtid="{D5CDD505-2E9C-101B-9397-08002B2CF9AE}" pid="4" name="Keyword concept note0">
    <vt:lpwstr>No keyword</vt:lpwstr>
  </property>
  <property fmtid="{D5CDD505-2E9C-101B-9397-08002B2CF9AE}" pid="5" name="KeywordMoU">
    <vt:lpwstr>No keyword</vt:lpwstr>
  </property>
</Properties>
</file>