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C4E7" w14:textId="6F1184C9" w:rsidR="00481608" w:rsidRPr="00106894" w:rsidRDefault="00481608" w:rsidP="00106894">
      <w:pPr>
        <w:tabs>
          <w:tab w:val="left" w:pos="993"/>
        </w:tabs>
        <w:spacing w:after="0" w:line="276" w:lineRule="auto"/>
        <w:ind w:firstLine="567"/>
        <w:jc w:val="right"/>
        <w:rPr>
          <w:rFonts w:ascii="Times New Roman" w:eastAsia="Times New Roman" w:hAnsi="Times New Roman" w:cs="Times New Roman"/>
          <w:b/>
          <w:color w:val="000000"/>
          <w:sz w:val="24"/>
          <w:szCs w:val="24"/>
          <w:lang w:val="en-GB"/>
        </w:rPr>
      </w:pPr>
      <w:r w:rsidRPr="00106894">
        <w:rPr>
          <w:rFonts w:ascii="Times New Roman" w:eastAsia="Times New Roman" w:hAnsi="Times New Roman" w:cs="Times New Roman"/>
          <w:b/>
          <w:color w:val="000000"/>
          <w:sz w:val="24"/>
          <w:szCs w:val="24"/>
          <w:lang w:val="en-GB"/>
        </w:rPr>
        <w:t>Draft</w:t>
      </w:r>
    </w:p>
    <w:p w14:paraId="132C1D9C" w14:textId="207F6A56" w:rsidR="00664EF0" w:rsidRPr="00106894" w:rsidRDefault="00664EF0" w:rsidP="00106894">
      <w:pPr>
        <w:tabs>
          <w:tab w:val="left" w:pos="993"/>
        </w:tabs>
        <w:spacing w:after="0" w:line="240" w:lineRule="auto"/>
        <w:ind w:firstLine="567"/>
        <w:jc w:val="center"/>
        <w:rPr>
          <w:rFonts w:ascii="Times New Roman" w:hAnsi="Times New Roman" w:cs="Times New Roman"/>
          <w:b/>
          <w:bCs/>
          <w:sz w:val="24"/>
          <w:szCs w:val="24"/>
          <w:lang w:val="en-GB"/>
        </w:rPr>
      </w:pPr>
      <w:r w:rsidRPr="00106894">
        <w:rPr>
          <w:rFonts w:ascii="Times New Roman" w:hAnsi="Times New Roman" w:cs="Times New Roman"/>
          <w:b/>
          <w:bCs/>
          <w:sz w:val="24"/>
          <w:szCs w:val="24"/>
          <w:lang w:val="en-GB"/>
        </w:rPr>
        <w:t>GUIDELINES FOR THE APPLICANTS OF THE CALL</w:t>
      </w:r>
    </w:p>
    <w:p w14:paraId="1E7893EF" w14:textId="1209B413" w:rsidR="00664EF0" w:rsidRPr="00106894" w:rsidRDefault="00664EF0" w:rsidP="00106894">
      <w:pPr>
        <w:tabs>
          <w:tab w:val="left" w:pos="993"/>
        </w:tabs>
        <w:spacing w:after="0" w:line="240" w:lineRule="auto"/>
        <w:ind w:firstLine="567"/>
        <w:jc w:val="center"/>
        <w:rPr>
          <w:rFonts w:ascii="Times New Roman" w:hAnsi="Times New Roman" w:cs="Times New Roman"/>
          <w:b/>
          <w:bCs/>
          <w:sz w:val="24"/>
          <w:szCs w:val="24"/>
          <w:lang w:val="en-GB"/>
        </w:rPr>
      </w:pPr>
      <w:r w:rsidRPr="00106894">
        <w:rPr>
          <w:rFonts w:ascii="Times New Roman" w:hAnsi="Times New Roman" w:cs="Times New Roman"/>
          <w:b/>
          <w:bCs/>
          <w:sz w:val="24"/>
          <w:szCs w:val="24"/>
          <w:lang w:val="en-GB"/>
        </w:rPr>
        <w:t>“IMPLEMENTATION O</w:t>
      </w:r>
      <w:r w:rsidR="00511355">
        <w:rPr>
          <w:rFonts w:ascii="Times New Roman" w:hAnsi="Times New Roman" w:cs="Times New Roman"/>
          <w:b/>
          <w:bCs/>
          <w:sz w:val="24"/>
          <w:szCs w:val="24"/>
          <w:lang w:val="en-GB"/>
        </w:rPr>
        <w:t>F THE MODEL OF WELL-BEING ADVIS</w:t>
      </w:r>
      <w:r w:rsidR="00511355">
        <w:rPr>
          <w:rFonts w:ascii="Times New Roman" w:hAnsi="Times New Roman" w:cs="Times New Roman"/>
          <w:b/>
          <w:bCs/>
          <w:sz w:val="24"/>
          <w:szCs w:val="24"/>
        </w:rPr>
        <w:t>E</w:t>
      </w:r>
      <w:r w:rsidRPr="00106894">
        <w:rPr>
          <w:rFonts w:ascii="Times New Roman" w:hAnsi="Times New Roman" w:cs="Times New Roman"/>
          <w:b/>
          <w:bCs/>
          <w:sz w:val="24"/>
          <w:szCs w:val="24"/>
          <w:lang w:val="en-GB"/>
        </w:rPr>
        <w:t>RS“</w:t>
      </w:r>
    </w:p>
    <w:p w14:paraId="12CFFC63" w14:textId="77777777" w:rsidR="00664EF0" w:rsidRPr="00106894" w:rsidRDefault="00664EF0" w:rsidP="00106894">
      <w:pPr>
        <w:tabs>
          <w:tab w:val="left" w:pos="993"/>
        </w:tabs>
        <w:spacing w:after="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sz w:val="24"/>
          <w:szCs w:val="24"/>
          <w:lang w:val="en-GB"/>
        </w:rPr>
        <w:t>UNDER THE PROGRAMME “HEALTH</w:t>
      </w:r>
      <w:proofErr w:type="gramStart"/>
      <w:r w:rsidRPr="00106894">
        <w:rPr>
          <w:rFonts w:ascii="Times New Roman" w:hAnsi="Times New Roman" w:cs="Times New Roman"/>
          <w:b/>
          <w:bCs/>
          <w:sz w:val="24"/>
          <w:szCs w:val="24"/>
          <w:lang w:val="en-GB"/>
        </w:rPr>
        <w:t>“ OF</w:t>
      </w:r>
      <w:proofErr w:type="gramEnd"/>
      <w:r w:rsidRPr="00106894">
        <w:rPr>
          <w:rFonts w:ascii="Times New Roman" w:hAnsi="Times New Roman" w:cs="Times New Roman"/>
          <w:b/>
          <w:bCs/>
          <w:sz w:val="24"/>
          <w:szCs w:val="24"/>
          <w:lang w:val="en-GB"/>
        </w:rPr>
        <w:t xml:space="preserve"> THE EUROPEAN ECONOMIC AREA FINANCIAL MECHANISM 2014-2021</w:t>
      </w:r>
    </w:p>
    <w:p w14:paraId="5E176EFC" w14:textId="77777777" w:rsidR="00481608" w:rsidRPr="00106894" w:rsidRDefault="00481608" w:rsidP="00106894">
      <w:pPr>
        <w:pStyle w:val="ListParagraph"/>
        <w:tabs>
          <w:tab w:val="left" w:pos="426"/>
          <w:tab w:val="left" w:pos="993"/>
        </w:tabs>
        <w:ind w:left="0" w:firstLine="567"/>
        <w:jc w:val="both"/>
        <w:rPr>
          <w:rFonts w:ascii="Times New Roman" w:hAnsi="Times New Roman" w:cs="Times New Roman"/>
          <w:sz w:val="24"/>
          <w:szCs w:val="24"/>
          <w:lang w:val="en-GB" w:eastAsia="lt-LT"/>
        </w:rPr>
      </w:pPr>
    </w:p>
    <w:p w14:paraId="069F7552" w14:textId="77777777" w:rsidR="00481608" w:rsidRPr="00106894" w:rsidRDefault="00481608" w:rsidP="00106894">
      <w:pPr>
        <w:pStyle w:val="ListParagraph"/>
        <w:numPr>
          <w:ilvl w:val="0"/>
          <w:numId w:val="3"/>
        </w:numPr>
        <w:tabs>
          <w:tab w:val="left" w:pos="993"/>
          <w:tab w:val="left" w:pos="3686"/>
        </w:tabs>
        <w:spacing w:after="120" w:line="240" w:lineRule="auto"/>
        <w:ind w:left="0" w:firstLine="567"/>
        <w:jc w:val="center"/>
        <w:rPr>
          <w:rFonts w:ascii="Times New Roman" w:hAnsi="Times New Roman" w:cs="Times New Roman"/>
          <w:b/>
          <w:bCs/>
          <w:caps/>
          <w:sz w:val="24"/>
          <w:szCs w:val="24"/>
          <w:lang w:val="en-GB"/>
        </w:rPr>
      </w:pPr>
      <w:bookmarkStart w:id="0" w:name="_Ref67991954"/>
      <w:r w:rsidRPr="00106894">
        <w:rPr>
          <w:rFonts w:ascii="Times New Roman" w:hAnsi="Times New Roman" w:cs="Times New Roman"/>
          <w:b/>
          <w:bCs/>
          <w:caps/>
          <w:sz w:val="24"/>
          <w:szCs w:val="24"/>
          <w:lang w:val="en-GB"/>
        </w:rPr>
        <w:t>General provisions</w:t>
      </w:r>
      <w:bookmarkEnd w:id="0"/>
    </w:p>
    <w:p w14:paraId="2E647546" w14:textId="77777777" w:rsidR="00481608" w:rsidRPr="00106894" w:rsidRDefault="00481608" w:rsidP="00106894">
      <w:pPr>
        <w:pStyle w:val="ListParagraph"/>
        <w:tabs>
          <w:tab w:val="left" w:pos="993"/>
        </w:tabs>
        <w:spacing w:after="120" w:line="240" w:lineRule="auto"/>
        <w:ind w:left="0" w:firstLine="567"/>
        <w:rPr>
          <w:rFonts w:ascii="Times New Roman" w:hAnsi="Times New Roman" w:cs="Times New Roman"/>
          <w:b/>
          <w:bCs/>
          <w:sz w:val="24"/>
          <w:szCs w:val="24"/>
          <w:lang w:val="en-GB"/>
        </w:rPr>
      </w:pPr>
    </w:p>
    <w:p w14:paraId="3CF26209" w14:textId="5FF1550D" w:rsidR="00481608" w:rsidRPr="00106894" w:rsidRDefault="00481608" w:rsidP="00106894">
      <w:pPr>
        <w:pStyle w:val="ListParagraph"/>
        <w:numPr>
          <w:ilvl w:val="0"/>
          <w:numId w:val="4"/>
        </w:numPr>
        <w:tabs>
          <w:tab w:val="left" w:pos="426"/>
          <w:tab w:val="left" w:pos="993"/>
        </w:tabs>
        <w:spacing w:line="259"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The Guidelines for Applicants of the open call “</w:t>
      </w:r>
      <w:r w:rsidR="00CA2E49" w:rsidRPr="00106894">
        <w:rPr>
          <w:rFonts w:ascii="Times New Roman" w:hAnsi="Times New Roman" w:cs="Times New Roman"/>
          <w:sz w:val="24"/>
          <w:szCs w:val="24"/>
          <w:lang w:val="en-GB" w:eastAsia="lt-LT"/>
        </w:rPr>
        <w:t xml:space="preserve">Implementation of the Model of Well-being </w:t>
      </w:r>
      <w:r w:rsidR="00511355">
        <w:rPr>
          <w:rFonts w:ascii="Times New Roman" w:hAnsi="Times New Roman" w:cs="Times New Roman"/>
          <w:sz w:val="24"/>
          <w:szCs w:val="24"/>
          <w:lang w:val="en-GB" w:eastAsia="lt-LT"/>
        </w:rPr>
        <w:t>Adviser</w:t>
      </w:r>
      <w:r w:rsidR="00CA2E49" w:rsidRPr="00106894">
        <w:rPr>
          <w:rFonts w:ascii="Times New Roman" w:hAnsi="Times New Roman" w:cs="Times New Roman"/>
          <w:sz w:val="24"/>
          <w:szCs w:val="24"/>
          <w:lang w:val="en-GB" w:eastAsia="lt-LT"/>
        </w:rPr>
        <w:t>s”</w:t>
      </w:r>
      <w:r w:rsidRPr="00106894">
        <w:rPr>
          <w:rFonts w:ascii="Times New Roman" w:hAnsi="Times New Roman" w:cs="Times New Roman"/>
          <w:b/>
          <w:bCs/>
          <w:sz w:val="24"/>
          <w:szCs w:val="24"/>
          <w:lang w:val="en-GB"/>
        </w:rPr>
        <w:t xml:space="preserve"> </w:t>
      </w:r>
      <w:r w:rsidRPr="00106894">
        <w:rPr>
          <w:rFonts w:ascii="Times New Roman" w:hAnsi="Times New Roman" w:cs="Times New Roman"/>
          <w:sz w:val="24"/>
          <w:szCs w:val="24"/>
          <w:lang w:val="en-GB"/>
        </w:rPr>
        <w:t xml:space="preserve">(hereinafter – </w:t>
      </w:r>
      <w:r w:rsidR="00CA2E49" w:rsidRPr="00106894">
        <w:rPr>
          <w:rFonts w:ascii="Times New Roman" w:hAnsi="Times New Roman" w:cs="Times New Roman"/>
          <w:sz w:val="24"/>
          <w:szCs w:val="24"/>
          <w:lang w:val="en-GB"/>
        </w:rPr>
        <w:t xml:space="preserve">the </w:t>
      </w:r>
      <w:r w:rsidRPr="00106894">
        <w:rPr>
          <w:rFonts w:ascii="Times New Roman" w:hAnsi="Times New Roman" w:cs="Times New Roman"/>
          <w:sz w:val="24"/>
          <w:szCs w:val="24"/>
          <w:lang w:val="en-GB"/>
        </w:rPr>
        <w:t>Guidelines)</w:t>
      </w:r>
      <w:r w:rsidRPr="00106894">
        <w:rPr>
          <w:rFonts w:ascii="Times New Roman" w:hAnsi="Times New Roman" w:cs="Times New Roman"/>
          <w:sz w:val="24"/>
          <w:szCs w:val="24"/>
          <w:lang w:val="en-GB" w:eastAsia="lt-LT"/>
        </w:rPr>
        <w:t xml:space="preserve"> under the EEA financial mechanism </w:t>
      </w:r>
      <w:r w:rsidR="00821642"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 “Health” 2014-2021 (</w:t>
      </w:r>
      <w:r w:rsidR="00CA2E49" w:rsidRPr="00106894">
        <w:rPr>
          <w:rFonts w:ascii="Times New Roman" w:hAnsi="Times New Roman" w:cs="Times New Roman"/>
          <w:sz w:val="24"/>
          <w:szCs w:val="24"/>
          <w:lang w:val="en-GB" w:eastAsia="lt-LT"/>
        </w:rPr>
        <w:t>hereinafter</w:t>
      </w:r>
      <w:r w:rsidRPr="00106894">
        <w:rPr>
          <w:rFonts w:ascii="Times New Roman" w:hAnsi="Times New Roman" w:cs="Times New Roman"/>
          <w:sz w:val="24"/>
          <w:szCs w:val="24"/>
          <w:lang w:val="en-GB" w:eastAsia="lt-LT"/>
        </w:rPr>
        <w:t xml:space="preserve"> – </w:t>
      </w:r>
      <w:r w:rsidR="00CA2E49" w:rsidRPr="00106894">
        <w:rPr>
          <w:rFonts w:ascii="Times New Roman" w:hAnsi="Times New Roman" w:cs="Times New Roman"/>
          <w:sz w:val="24"/>
          <w:szCs w:val="24"/>
          <w:lang w:val="en-GB" w:eastAsia="lt-LT"/>
        </w:rPr>
        <w:t>the Programme</w:t>
      </w:r>
      <w:r w:rsidRPr="00106894">
        <w:rPr>
          <w:rFonts w:ascii="Times New Roman" w:hAnsi="Times New Roman" w:cs="Times New Roman"/>
          <w:sz w:val="24"/>
          <w:szCs w:val="24"/>
          <w:lang w:val="en-GB" w:eastAsia="lt-LT"/>
        </w:rPr>
        <w:t>) lay down the requirements for applicants, which they shall follow in preparing and submitting their applications.</w:t>
      </w:r>
    </w:p>
    <w:p w14:paraId="292E9436" w14:textId="2E0C55B9" w:rsidR="00BD4DFB" w:rsidRPr="00106894" w:rsidRDefault="00BD4DFB" w:rsidP="00106894">
      <w:pPr>
        <w:pStyle w:val="ListParagraph"/>
        <w:numPr>
          <w:ilvl w:val="0"/>
          <w:numId w:val="4"/>
        </w:numPr>
        <w:tabs>
          <w:tab w:val="left" w:pos="426"/>
          <w:tab w:val="left" w:pos="993"/>
        </w:tabs>
        <w:spacing w:line="259"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The Guidelines for the Applicants have been prepared in accordance with: </w:t>
      </w:r>
    </w:p>
    <w:p w14:paraId="66453735" w14:textId="1494B72C"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Memorandum of Understanding regarding the implementation of EEA financial mechanism 2014–2021 of 24 April 2018 among the Republic of Lithuania and Iceland, the Principality of Liechtenstein and the Kingdom of Norway (hereinafter – the Memorandum);</w:t>
      </w:r>
    </w:p>
    <w:p w14:paraId="14302698" w14:textId="77777777"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Regulation implementing EEA financial mechanism </w:t>
      </w:r>
      <w:r w:rsidRPr="00106894">
        <w:rPr>
          <w:rFonts w:ascii="Times New Roman" w:hAnsi="Times New Roman" w:cs="Times New Roman"/>
          <w:bCs/>
          <w:sz w:val="24"/>
          <w:szCs w:val="24"/>
          <w:lang w:val="en-GB"/>
        </w:rPr>
        <w:t>2014–2021 (hereinafter – the Regulation) approved by EEA Financial Mechanism Committee on 8 September 2016;</w:t>
      </w:r>
    </w:p>
    <w:p w14:paraId="28157CFE" w14:textId="77777777" w:rsidR="00274532"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Rules of Administration and Financing of EEA and Norwegian Financial Mechanisms </w:t>
      </w:r>
      <w:r w:rsidRPr="00106894">
        <w:rPr>
          <w:rFonts w:ascii="Times New Roman" w:hAnsi="Times New Roman" w:cs="Times New Roman"/>
          <w:sz w:val="24"/>
          <w:szCs w:val="24"/>
          <w:lang w:val="en-GB"/>
        </w:rPr>
        <w:t>2014-2021 (Order No. 1K-389 of the Minister of Finance of the Republic of Lithuania of 12 November 2018);</w:t>
      </w:r>
    </w:p>
    <w:p w14:paraId="7037046A" w14:textId="198B0575" w:rsidR="002468BB" w:rsidRPr="00106894" w:rsidRDefault="00274532" w:rsidP="00106894">
      <w:pPr>
        <w:pStyle w:val="ListParagraph"/>
        <w:numPr>
          <w:ilvl w:val="1"/>
          <w:numId w:val="5"/>
        </w:numPr>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Contract regarding the financing of the EEA financial mechanism </w:t>
      </w:r>
      <w:r w:rsidR="00C07284"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 “Health” 2014-2021 of the Ministry of Finance of the Republic of Lithuania and the EEA Financial Mechanism Committee of 3 September 2019;</w:t>
      </w:r>
    </w:p>
    <w:p w14:paraId="66BBE6AA"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3. Terms and abbreviations used in the Guidelines:</w:t>
      </w:r>
    </w:p>
    <w:p w14:paraId="171EDB7C" w14:textId="0AEB00A8"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3.1. </w:t>
      </w:r>
      <w:r w:rsidRPr="00106894">
        <w:rPr>
          <w:rFonts w:ascii="Times New Roman" w:hAnsi="Times New Roman" w:cs="Times New Roman"/>
          <w:b/>
          <w:sz w:val="24"/>
          <w:szCs w:val="24"/>
          <w:lang w:val="en-GB" w:eastAsia="lt-LT"/>
        </w:rPr>
        <w:t>Co-financing Funds</w:t>
      </w:r>
      <w:r w:rsidRPr="00106894">
        <w:rPr>
          <w:rFonts w:ascii="Times New Roman" w:hAnsi="Times New Roman" w:cs="Times New Roman"/>
          <w:sz w:val="24"/>
          <w:szCs w:val="24"/>
          <w:lang w:val="en-GB" w:eastAsia="lt-LT"/>
        </w:rPr>
        <w:t xml:space="preserve"> – funds of the state budget of the Republic of Lithuania for financing </w:t>
      </w:r>
      <w:r w:rsidR="00C07284" w:rsidRPr="00106894">
        <w:rPr>
          <w:rFonts w:ascii="Times New Roman" w:hAnsi="Times New Roman" w:cs="Times New Roman"/>
          <w:sz w:val="24"/>
          <w:szCs w:val="24"/>
          <w:lang w:val="en-GB" w:eastAsia="lt-LT"/>
        </w:rPr>
        <w:t>P</w:t>
      </w:r>
      <w:r w:rsidRPr="00106894">
        <w:rPr>
          <w:rFonts w:ascii="Times New Roman" w:hAnsi="Times New Roman" w:cs="Times New Roman"/>
          <w:sz w:val="24"/>
          <w:szCs w:val="24"/>
          <w:lang w:val="en-GB" w:eastAsia="lt-LT"/>
        </w:rPr>
        <w:t>rogrammes implemented from EEA and (or) Norwegian financial mechanism funds.</w:t>
      </w:r>
    </w:p>
    <w:p w14:paraId="4D96AD8A"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3.2. </w:t>
      </w:r>
      <w:r w:rsidRPr="00106894">
        <w:rPr>
          <w:rFonts w:ascii="Times New Roman" w:hAnsi="Times New Roman" w:cs="Times New Roman"/>
          <w:b/>
          <w:bCs/>
          <w:sz w:val="24"/>
          <w:szCs w:val="24"/>
          <w:lang w:val="en-GB" w:eastAsia="lt-LT"/>
        </w:rPr>
        <w:t>CPMA</w:t>
      </w:r>
      <w:r w:rsidRPr="00106894">
        <w:rPr>
          <w:rFonts w:ascii="Times New Roman" w:hAnsi="Times New Roman" w:cs="Times New Roman"/>
          <w:sz w:val="24"/>
          <w:szCs w:val="24"/>
          <w:lang w:val="en-GB" w:eastAsia="lt-LT"/>
        </w:rPr>
        <w:t xml:space="preserve"> – PI Central Project Management Agency.</w:t>
      </w:r>
    </w:p>
    <w:p w14:paraId="710BAAC5"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3.3. </w:t>
      </w:r>
      <w:r w:rsidRPr="00106894">
        <w:rPr>
          <w:rFonts w:ascii="Times New Roman" w:hAnsi="Times New Roman" w:cs="Times New Roman"/>
          <w:b/>
          <w:bCs/>
          <w:sz w:val="24"/>
          <w:szCs w:val="24"/>
          <w:lang w:val="en-GB" w:eastAsia="lt-LT"/>
        </w:rPr>
        <w:t xml:space="preserve">Donor Project Partner </w:t>
      </w:r>
      <w:r w:rsidRPr="00106894">
        <w:rPr>
          <w:rFonts w:ascii="Times New Roman" w:hAnsi="Times New Roman" w:cs="Times New Roman"/>
          <w:sz w:val="24"/>
          <w:szCs w:val="24"/>
          <w:lang w:val="en-GB" w:eastAsia="lt-LT"/>
        </w:rPr>
        <w:t>– a legal entity established as a legal person in one of the Donor States (the Republic of Iceland, the Principality of Liechtenstein and the Kingdom of Norway, which is actively involved in the preparation of a project application and contributes to the implementation of the project on the basis of a partnership agreement signed with the Project Promoter.</w:t>
      </w:r>
    </w:p>
    <w:p w14:paraId="79E5205D" w14:textId="77777777" w:rsidR="002468BB"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3.4. </w:t>
      </w:r>
      <w:r w:rsidRPr="00106894">
        <w:rPr>
          <w:rFonts w:ascii="Times New Roman" w:hAnsi="Times New Roman" w:cs="Times New Roman"/>
          <w:b/>
          <w:bCs/>
          <w:sz w:val="24"/>
          <w:szCs w:val="24"/>
          <w:lang w:val="en-GB" w:eastAsia="lt-LT"/>
        </w:rPr>
        <w:t>DMS</w:t>
      </w:r>
      <w:r w:rsidRPr="00106894">
        <w:rPr>
          <w:rFonts w:ascii="Times New Roman" w:hAnsi="Times New Roman" w:cs="Times New Roman"/>
          <w:sz w:val="24"/>
          <w:szCs w:val="24"/>
          <w:lang w:val="en-GB" w:eastAsia="lt-LT"/>
        </w:rPr>
        <w:t xml:space="preserve"> – site for the exchange of project data of EEA and Norwegian financial mechanisms 2014-2021.</w:t>
      </w:r>
    </w:p>
    <w:p w14:paraId="031636A2" w14:textId="77777777" w:rsidR="00BA5314" w:rsidRPr="00106894" w:rsidRDefault="002468BB"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eastAsia="lt-LT"/>
        </w:rPr>
        <w:t xml:space="preserve">3.5. </w:t>
      </w:r>
      <w:r w:rsidRPr="00106894">
        <w:rPr>
          <w:rFonts w:ascii="Times New Roman" w:hAnsi="Times New Roman" w:cs="Times New Roman"/>
          <w:b/>
          <w:bCs/>
          <w:sz w:val="24"/>
          <w:szCs w:val="24"/>
          <w:lang w:val="en-GB" w:eastAsia="lt-LT"/>
        </w:rPr>
        <w:t>EEA</w:t>
      </w:r>
      <w:r w:rsidRPr="00106894">
        <w:rPr>
          <w:rFonts w:ascii="Times New Roman" w:hAnsi="Times New Roman" w:cs="Times New Roman"/>
          <w:sz w:val="24"/>
          <w:szCs w:val="24"/>
          <w:lang w:val="en-GB" w:eastAsia="lt-LT"/>
        </w:rPr>
        <w:t xml:space="preserve"> – </w:t>
      </w:r>
      <w:r w:rsidRPr="00106894">
        <w:rPr>
          <w:rFonts w:ascii="Times New Roman" w:hAnsi="Times New Roman" w:cs="Times New Roman"/>
          <w:sz w:val="24"/>
          <w:szCs w:val="24"/>
          <w:lang w:val="en-GB"/>
        </w:rPr>
        <w:t>European Economic Area.</w:t>
      </w:r>
    </w:p>
    <w:p w14:paraId="557F1A33" w14:textId="11D2A7C4"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rPr>
        <w:t xml:space="preserve">3.6. </w:t>
      </w:r>
      <w:r w:rsidR="00AA5EED" w:rsidRPr="00106894">
        <w:rPr>
          <w:rFonts w:ascii="Times New Roman" w:hAnsi="Times New Roman" w:cs="Times New Roman"/>
          <w:b/>
          <w:sz w:val="24"/>
          <w:szCs w:val="24"/>
          <w:lang w:val="en-GB" w:eastAsia="lt-LT"/>
        </w:rPr>
        <w:t xml:space="preserve">Well-being </w:t>
      </w:r>
      <w:r w:rsidR="00511355">
        <w:rPr>
          <w:rFonts w:ascii="Times New Roman" w:hAnsi="Times New Roman" w:cs="Times New Roman"/>
          <w:b/>
          <w:sz w:val="24"/>
          <w:szCs w:val="24"/>
          <w:lang w:val="en-GB" w:eastAsia="lt-LT"/>
        </w:rPr>
        <w:t>Adviser</w:t>
      </w:r>
      <w:r w:rsidR="00E4639F" w:rsidRPr="00106894">
        <w:rPr>
          <w:rFonts w:ascii="Times New Roman" w:hAnsi="Times New Roman" w:cs="Times New Roman"/>
          <w:sz w:val="24"/>
          <w:szCs w:val="24"/>
          <w:lang w:val="en-GB" w:eastAsia="lt-LT"/>
        </w:rPr>
        <w:t xml:space="preserve"> –</w:t>
      </w:r>
      <w:r w:rsidR="00B91973" w:rsidRPr="00106894">
        <w:rPr>
          <w:rFonts w:ascii="Times New Roman" w:hAnsi="Times New Roman" w:cs="Times New Roman"/>
          <w:sz w:val="24"/>
          <w:szCs w:val="24"/>
          <w:lang w:val="en-GB" w:eastAsia="lt-LT"/>
        </w:rPr>
        <w:t xml:space="preserve"> a</w:t>
      </w:r>
      <w:r w:rsidR="00B91973" w:rsidRPr="00106894">
        <w:rPr>
          <w:rFonts w:ascii="Times New Roman" w:hAnsi="Times New Roman" w:cs="Times New Roman"/>
          <w:sz w:val="24"/>
          <w:szCs w:val="24"/>
          <w:lang w:val="en-GB"/>
        </w:rPr>
        <w:t xml:space="preserve"> professional with university degree in Biomedicine or Social Sciences, having completed training of low-intensity emotional counsel</w:t>
      </w:r>
      <w:r w:rsidR="00FC3DC6">
        <w:rPr>
          <w:rFonts w:ascii="Times New Roman" w:hAnsi="Times New Roman" w:cs="Times New Roman"/>
          <w:sz w:val="24"/>
          <w:szCs w:val="24"/>
          <w:lang w:val="en-GB"/>
        </w:rPr>
        <w:t>l</w:t>
      </w:r>
      <w:r w:rsidR="00B91973" w:rsidRPr="00106894">
        <w:rPr>
          <w:rFonts w:ascii="Times New Roman" w:hAnsi="Times New Roman" w:cs="Times New Roman"/>
          <w:sz w:val="24"/>
          <w:szCs w:val="24"/>
          <w:lang w:val="en-GB"/>
        </w:rPr>
        <w:t xml:space="preserve">ing of individuals experiencing psychological and emotional difficulties based on cognitive and behavioural therapy. </w:t>
      </w:r>
    </w:p>
    <w:p w14:paraId="7629BD54" w14:textId="24D58DB4"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eastAsia="lt-LT"/>
        </w:rPr>
      </w:pPr>
      <w:r w:rsidRPr="00106894">
        <w:rPr>
          <w:rFonts w:ascii="Times New Roman" w:hAnsi="Times New Roman" w:cs="Times New Roman"/>
          <w:bCs/>
          <w:sz w:val="24"/>
          <w:szCs w:val="24"/>
          <w:lang w:val="en-GB" w:eastAsia="lt-LT"/>
        </w:rPr>
        <w:t>3.7.</w:t>
      </w:r>
      <w:r w:rsidR="00B91973" w:rsidRPr="00106894">
        <w:rPr>
          <w:rFonts w:ascii="Times New Roman" w:hAnsi="Times New Roman" w:cs="Times New Roman"/>
          <w:bCs/>
          <w:sz w:val="24"/>
          <w:szCs w:val="24"/>
          <w:lang w:val="en-GB" w:eastAsia="lt-LT"/>
        </w:rPr>
        <w:t xml:space="preserve"> </w:t>
      </w:r>
      <w:r w:rsidR="00B91973" w:rsidRPr="00106894">
        <w:rPr>
          <w:rFonts w:ascii="Times New Roman" w:hAnsi="Times New Roman" w:cs="Times New Roman"/>
          <w:b/>
          <w:sz w:val="24"/>
          <w:szCs w:val="24"/>
          <w:lang w:val="en-GB" w:eastAsia="lt-LT"/>
        </w:rPr>
        <w:t>Ser</w:t>
      </w:r>
      <w:r w:rsidR="00511355">
        <w:rPr>
          <w:rFonts w:ascii="Times New Roman" w:hAnsi="Times New Roman" w:cs="Times New Roman"/>
          <w:b/>
          <w:sz w:val="24"/>
          <w:szCs w:val="24"/>
          <w:lang w:val="en-GB" w:eastAsia="lt-LT"/>
        </w:rPr>
        <w:t>vices provided by a Well-being A</w:t>
      </w:r>
      <w:r w:rsidR="00B91973" w:rsidRPr="00106894">
        <w:rPr>
          <w:rFonts w:ascii="Times New Roman" w:hAnsi="Times New Roman" w:cs="Times New Roman"/>
          <w:b/>
          <w:sz w:val="24"/>
          <w:szCs w:val="24"/>
          <w:lang w:val="en-GB" w:eastAsia="lt-LT"/>
        </w:rPr>
        <w:t>dviser</w:t>
      </w:r>
      <w:r w:rsidR="00B91973" w:rsidRPr="00106894">
        <w:rPr>
          <w:rFonts w:ascii="Times New Roman" w:hAnsi="Times New Roman" w:cs="Times New Roman"/>
          <w:bCs/>
          <w:sz w:val="24"/>
          <w:szCs w:val="24"/>
          <w:lang w:val="en-GB" w:eastAsia="lt-LT"/>
        </w:rPr>
        <w:t xml:space="preserve"> - free, easily accessible, research-based psychological counsel</w:t>
      </w:r>
      <w:r w:rsidR="00FC3DC6">
        <w:rPr>
          <w:rFonts w:ascii="Times New Roman" w:hAnsi="Times New Roman" w:cs="Times New Roman"/>
          <w:bCs/>
          <w:sz w:val="24"/>
          <w:szCs w:val="24"/>
          <w:lang w:val="en-GB" w:eastAsia="lt-LT"/>
        </w:rPr>
        <w:t>l</w:t>
      </w:r>
      <w:r w:rsidR="00B91973" w:rsidRPr="00106894">
        <w:rPr>
          <w:rFonts w:ascii="Times New Roman" w:hAnsi="Times New Roman" w:cs="Times New Roman"/>
          <w:bCs/>
          <w:sz w:val="24"/>
          <w:szCs w:val="24"/>
          <w:lang w:val="en-GB" w:eastAsia="lt-LT"/>
        </w:rPr>
        <w:t>ing and emotional support services for the target group.</w:t>
      </w:r>
    </w:p>
    <w:p w14:paraId="1C97044B" w14:textId="78DAE300" w:rsidR="00B91973"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3.8. </w:t>
      </w:r>
      <w:r w:rsidR="00B91973" w:rsidRPr="00106894">
        <w:rPr>
          <w:rFonts w:ascii="Times New Roman" w:hAnsi="Times New Roman" w:cs="Times New Roman"/>
          <w:b/>
          <w:bCs/>
          <w:sz w:val="24"/>
          <w:szCs w:val="24"/>
          <w:lang w:val="en-GB"/>
        </w:rPr>
        <w:t>Description of the provisio</w:t>
      </w:r>
      <w:r w:rsidR="00511355">
        <w:rPr>
          <w:rFonts w:ascii="Times New Roman" w:hAnsi="Times New Roman" w:cs="Times New Roman"/>
          <w:b/>
          <w:bCs/>
          <w:sz w:val="24"/>
          <w:szCs w:val="24"/>
          <w:lang w:val="en-GB"/>
        </w:rPr>
        <w:t>n of Well-being A</w:t>
      </w:r>
      <w:r w:rsidR="00421D47">
        <w:rPr>
          <w:rFonts w:ascii="Times New Roman" w:hAnsi="Times New Roman" w:cs="Times New Roman"/>
          <w:b/>
          <w:bCs/>
          <w:sz w:val="24"/>
          <w:szCs w:val="24"/>
          <w:lang w:val="en-GB"/>
        </w:rPr>
        <w:t>dviser principles</w:t>
      </w:r>
      <w:r w:rsidR="00B91973" w:rsidRPr="00106894">
        <w:rPr>
          <w:rFonts w:ascii="Times New Roman" w:hAnsi="Times New Roman" w:cs="Times New Roman"/>
          <w:b/>
          <w:bCs/>
          <w:sz w:val="24"/>
          <w:szCs w:val="24"/>
          <w:lang w:val="en-GB"/>
        </w:rPr>
        <w:t xml:space="preserve"> </w:t>
      </w:r>
      <w:r w:rsidR="00B91973" w:rsidRPr="00106894">
        <w:rPr>
          <w:rFonts w:ascii="Times New Roman" w:hAnsi="Times New Roman" w:cs="Times New Roman"/>
          <w:sz w:val="24"/>
          <w:szCs w:val="24"/>
          <w:lang w:val="en-GB"/>
        </w:rPr>
        <w:t xml:space="preserve">– a description setting out the basic principles for the provision of </w:t>
      </w:r>
      <w:r w:rsidR="008F7214" w:rsidRPr="00106894">
        <w:rPr>
          <w:rFonts w:ascii="Times New Roman" w:hAnsi="Times New Roman" w:cs="Times New Roman"/>
          <w:sz w:val="24"/>
          <w:szCs w:val="24"/>
          <w:lang w:val="en-GB"/>
        </w:rPr>
        <w:t>Well-being adviser services</w:t>
      </w:r>
      <w:r w:rsidR="003C78BC" w:rsidRPr="00106894">
        <w:rPr>
          <w:rFonts w:ascii="Times New Roman" w:hAnsi="Times New Roman" w:cs="Times New Roman"/>
          <w:sz w:val="24"/>
          <w:szCs w:val="24"/>
          <w:lang w:val="en-GB"/>
        </w:rPr>
        <w:t xml:space="preserve"> (Annex 1 to the Guidelines). </w:t>
      </w:r>
    </w:p>
    <w:p w14:paraId="06B95CBC" w14:textId="7F48BB9A" w:rsidR="00DD15DC"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3.9. </w:t>
      </w:r>
      <w:r w:rsidR="00F56610" w:rsidRPr="00106894">
        <w:rPr>
          <w:rFonts w:ascii="Times New Roman" w:hAnsi="Times New Roman" w:cs="Times New Roman"/>
          <w:b/>
          <w:bCs/>
          <w:sz w:val="24"/>
          <w:szCs w:val="24"/>
          <w:lang w:val="en-GB" w:eastAsia="lt-LT"/>
        </w:rPr>
        <w:t>Pl</w:t>
      </w:r>
      <w:r w:rsidR="00511355">
        <w:rPr>
          <w:rFonts w:ascii="Times New Roman" w:hAnsi="Times New Roman" w:cs="Times New Roman"/>
          <w:b/>
          <w:bCs/>
          <w:sz w:val="24"/>
          <w:szCs w:val="24"/>
          <w:lang w:val="en-GB" w:eastAsia="lt-LT"/>
        </w:rPr>
        <w:t>ace of provision of Well-being A</w:t>
      </w:r>
      <w:r w:rsidR="00F56610" w:rsidRPr="00106894">
        <w:rPr>
          <w:rFonts w:ascii="Times New Roman" w:hAnsi="Times New Roman" w:cs="Times New Roman"/>
          <w:b/>
          <w:bCs/>
          <w:sz w:val="24"/>
          <w:szCs w:val="24"/>
          <w:lang w:val="en-GB" w:eastAsia="lt-LT"/>
        </w:rPr>
        <w:t>dviser service</w:t>
      </w:r>
      <w:r w:rsidR="00F56610" w:rsidRPr="00106894">
        <w:rPr>
          <w:rFonts w:ascii="Times New Roman" w:hAnsi="Times New Roman" w:cs="Times New Roman"/>
          <w:sz w:val="24"/>
          <w:szCs w:val="24"/>
          <w:lang w:val="en-GB" w:eastAsia="lt-LT"/>
        </w:rPr>
        <w:t xml:space="preserve"> - </w:t>
      </w:r>
      <w:r w:rsidR="00DD15DC" w:rsidRPr="00106894">
        <w:rPr>
          <w:rFonts w:ascii="Times New Roman" w:hAnsi="Times New Roman" w:cs="Times New Roman"/>
          <w:sz w:val="24"/>
          <w:szCs w:val="24"/>
          <w:lang w:val="en-GB" w:eastAsia="lt-LT"/>
        </w:rPr>
        <w:t xml:space="preserve">premises for the provision of Well-being </w:t>
      </w:r>
      <w:r w:rsidR="00511355">
        <w:rPr>
          <w:rFonts w:ascii="Times New Roman" w:hAnsi="Times New Roman" w:cs="Times New Roman"/>
          <w:sz w:val="24"/>
          <w:szCs w:val="24"/>
          <w:lang w:val="en-GB" w:eastAsia="lt-LT"/>
        </w:rPr>
        <w:t>Adviser</w:t>
      </w:r>
      <w:r w:rsidR="00DD15DC" w:rsidRPr="00106894">
        <w:rPr>
          <w:rFonts w:ascii="Times New Roman" w:hAnsi="Times New Roman" w:cs="Times New Roman"/>
          <w:sz w:val="24"/>
          <w:szCs w:val="24"/>
          <w:lang w:val="en-GB" w:eastAsia="lt-LT"/>
        </w:rPr>
        <w:t xml:space="preserve"> services which are in line with the features of the place of pr</w:t>
      </w:r>
      <w:r w:rsidR="00421D47">
        <w:rPr>
          <w:rFonts w:ascii="Times New Roman" w:hAnsi="Times New Roman" w:cs="Times New Roman"/>
          <w:sz w:val="24"/>
          <w:szCs w:val="24"/>
          <w:lang w:val="en-GB" w:eastAsia="lt-LT"/>
        </w:rPr>
        <w:t>ovision of services provided for</w:t>
      </w:r>
      <w:r w:rsidR="00DD15DC" w:rsidRPr="00106894">
        <w:rPr>
          <w:rFonts w:ascii="Times New Roman" w:hAnsi="Times New Roman" w:cs="Times New Roman"/>
          <w:sz w:val="24"/>
          <w:szCs w:val="24"/>
          <w:lang w:val="en-GB" w:eastAsia="lt-LT"/>
        </w:rPr>
        <w:t xml:space="preserve"> in the </w:t>
      </w:r>
      <w:r w:rsidR="00421D47">
        <w:rPr>
          <w:rFonts w:ascii="Times New Roman" w:hAnsi="Times New Roman" w:cs="Times New Roman"/>
          <w:sz w:val="24"/>
          <w:szCs w:val="24"/>
          <w:lang w:val="en-GB" w:eastAsia="lt-LT"/>
        </w:rPr>
        <w:t xml:space="preserve">Annex </w:t>
      </w:r>
      <w:r w:rsidR="00421D47">
        <w:rPr>
          <w:rFonts w:ascii="Times New Roman" w:hAnsi="Times New Roman" w:cs="Times New Roman"/>
          <w:sz w:val="24"/>
          <w:szCs w:val="24"/>
          <w:lang w:val="en-US" w:eastAsia="lt-LT"/>
        </w:rPr>
        <w:t>1 of the Guid</w:t>
      </w:r>
      <w:r w:rsidR="00FC3DC6">
        <w:rPr>
          <w:rFonts w:ascii="Times New Roman" w:hAnsi="Times New Roman" w:cs="Times New Roman"/>
          <w:sz w:val="24"/>
          <w:szCs w:val="24"/>
          <w:lang w:val="en-US" w:eastAsia="lt-LT"/>
        </w:rPr>
        <w:t>el</w:t>
      </w:r>
      <w:r w:rsidR="00421D47">
        <w:rPr>
          <w:rFonts w:ascii="Times New Roman" w:hAnsi="Times New Roman" w:cs="Times New Roman"/>
          <w:sz w:val="24"/>
          <w:szCs w:val="24"/>
          <w:lang w:val="en-US" w:eastAsia="lt-LT"/>
        </w:rPr>
        <w:t>ines</w:t>
      </w:r>
      <w:r w:rsidR="00DD15DC" w:rsidRPr="00106894">
        <w:rPr>
          <w:rFonts w:ascii="Times New Roman" w:hAnsi="Times New Roman" w:cs="Times New Roman"/>
          <w:sz w:val="24"/>
          <w:szCs w:val="24"/>
          <w:lang w:val="en-GB" w:eastAsia="lt-LT"/>
        </w:rPr>
        <w:t xml:space="preserve"> and with the principles of provision of services, and ensuring privacy and the confidentiality of services provided to an individual.</w:t>
      </w:r>
    </w:p>
    <w:p w14:paraId="4B108CD4" w14:textId="6DF7246D" w:rsidR="002F507B"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eastAsia="lt-LT"/>
        </w:rPr>
      </w:pPr>
      <w:r w:rsidRPr="00106894">
        <w:rPr>
          <w:rFonts w:ascii="Times New Roman" w:hAnsi="Times New Roman" w:cs="Times New Roman"/>
          <w:bCs/>
          <w:sz w:val="24"/>
          <w:szCs w:val="24"/>
          <w:lang w:val="en-GB" w:eastAsia="lt-LT"/>
        </w:rPr>
        <w:lastRenderedPageBreak/>
        <w:t xml:space="preserve">3.10. </w:t>
      </w:r>
      <w:r w:rsidR="00511355">
        <w:rPr>
          <w:rFonts w:ascii="Times New Roman" w:hAnsi="Times New Roman" w:cs="Times New Roman"/>
          <w:b/>
          <w:sz w:val="24"/>
          <w:szCs w:val="24"/>
          <w:lang w:val="en-GB" w:eastAsia="lt-LT"/>
        </w:rPr>
        <w:t>Recipients of Well-being A</w:t>
      </w:r>
      <w:r w:rsidR="002F507B" w:rsidRPr="00106894">
        <w:rPr>
          <w:rFonts w:ascii="Times New Roman" w:hAnsi="Times New Roman" w:cs="Times New Roman"/>
          <w:b/>
          <w:sz w:val="24"/>
          <w:szCs w:val="24"/>
          <w:lang w:val="en-GB" w:eastAsia="lt-LT"/>
        </w:rPr>
        <w:t xml:space="preserve">dviser services </w:t>
      </w:r>
      <w:r w:rsidR="002F507B" w:rsidRPr="00106894">
        <w:rPr>
          <w:rFonts w:ascii="Times New Roman" w:hAnsi="Times New Roman" w:cs="Times New Roman"/>
          <w:bCs/>
          <w:sz w:val="24"/>
          <w:szCs w:val="24"/>
          <w:lang w:val="en-GB" w:eastAsia="lt-LT"/>
        </w:rPr>
        <w:t xml:space="preserve">– individuals of 18 years of age (inclusive) and older </w:t>
      </w:r>
      <w:r w:rsidR="002F507B" w:rsidRPr="00106894">
        <w:rPr>
          <w:rFonts w:ascii="Times New Roman" w:hAnsi="Times New Roman" w:cs="Times New Roman"/>
          <w:sz w:val="24"/>
          <w:szCs w:val="24"/>
          <w:lang w:val="en-GB"/>
        </w:rPr>
        <w:t>with mild symptoms of stress, anxiety, insomnia, depression and those experiencing psychological adaptation problems</w:t>
      </w:r>
      <w:r w:rsidR="00421D47">
        <w:rPr>
          <w:rFonts w:ascii="Times New Roman" w:hAnsi="Times New Roman" w:cs="Times New Roman"/>
          <w:sz w:val="24"/>
          <w:szCs w:val="24"/>
          <w:lang w:val="en-GB"/>
        </w:rPr>
        <w:t xml:space="preserve"> (target group)</w:t>
      </w:r>
      <w:r w:rsidR="002F507B" w:rsidRPr="00106894">
        <w:rPr>
          <w:rFonts w:ascii="Times New Roman" w:hAnsi="Times New Roman" w:cs="Times New Roman"/>
          <w:sz w:val="24"/>
          <w:szCs w:val="24"/>
          <w:lang w:val="en-GB"/>
        </w:rPr>
        <w:t xml:space="preserve">. </w:t>
      </w:r>
    </w:p>
    <w:p w14:paraId="12C17C79" w14:textId="77777777"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sz w:val="24"/>
          <w:szCs w:val="24"/>
          <w:lang w:val="en-GB" w:eastAsia="lt-LT"/>
        </w:rPr>
        <w:t xml:space="preserve">3.11. </w:t>
      </w:r>
      <w:r w:rsidR="009E2583" w:rsidRPr="00106894">
        <w:rPr>
          <w:rFonts w:ascii="Times New Roman" w:hAnsi="Times New Roman" w:cs="Times New Roman"/>
          <w:b/>
          <w:sz w:val="24"/>
          <w:szCs w:val="24"/>
          <w:lang w:val="en-GB"/>
        </w:rPr>
        <w:t>MAFR</w:t>
      </w:r>
      <w:r w:rsidR="009E2583" w:rsidRPr="00106894">
        <w:rPr>
          <w:rFonts w:ascii="Times New Roman" w:hAnsi="Times New Roman" w:cs="Times New Roman"/>
          <w:sz w:val="24"/>
          <w:szCs w:val="24"/>
          <w:lang w:val="en-GB"/>
        </w:rPr>
        <w:t xml:space="preserve"> - Rules of Administration and Financing of EEA and Norwegian Financial Mechanisms 2014-2021, approved by the Order No. 1K-389 of the Minister of Finance of the Republic of Lithuania of 12 November 2018;</w:t>
      </w:r>
    </w:p>
    <w:p w14:paraId="12799A14" w14:textId="3728A6E8"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sz w:val="24"/>
          <w:szCs w:val="24"/>
          <w:lang w:val="en-GB" w:eastAsia="lt-LT"/>
        </w:rPr>
        <w:t xml:space="preserve">3.12. </w:t>
      </w:r>
      <w:r w:rsidR="00FF7048" w:rsidRPr="00106894">
        <w:rPr>
          <w:rFonts w:ascii="Times New Roman" w:hAnsi="Times New Roman" w:cs="Times New Roman"/>
          <w:b/>
          <w:bCs/>
          <w:sz w:val="24"/>
          <w:szCs w:val="24"/>
          <w:lang w:val="en-GB"/>
        </w:rPr>
        <w:t>Mechanism Funds</w:t>
      </w:r>
      <w:r w:rsidR="00FF7048" w:rsidRPr="00106894">
        <w:rPr>
          <w:rFonts w:ascii="Times New Roman" w:hAnsi="Times New Roman" w:cs="Times New Roman"/>
          <w:bCs/>
          <w:sz w:val="24"/>
          <w:szCs w:val="24"/>
          <w:lang w:val="en-GB"/>
        </w:rPr>
        <w:t xml:space="preserve"> – funds of EEA </w:t>
      </w:r>
      <w:r w:rsidR="00FC3DC6">
        <w:rPr>
          <w:rFonts w:ascii="Times New Roman" w:hAnsi="Times New Roman" w:cs="Times New Roman"/>
          <w:bCs/>
          <w:sz w:val="24"/>
          <w:szCs w:val="24"/>
          <w:lang w:val="en-GB"/>
        </w:rPr>
        <w:t xml:space="preserve">financial </w:t>
      </w:r>
      <w:r w:rsidR="00FF7048" w:rsidRPr="00106894">
        <w:rPr>
          <w:rFonts w:ascii="Times New Roman" w:hAnsi="Times New Roman" w:cs="Times New Roman"/>
          <w:bCs/>
          <w:sz w:val="24"/>
          <w:szCs w:val="24"/>
          <w:lang w:val="en-GB"/>
        </w:rPr>
        <w:t>mechanism 2014-2021</w:t>
      </w:r>
      <w:r w:rsidRPr="00106894">
        <w:rPr>
          <w:rFonts w:ascii="Times New Roman" w:hAnsi="Times New Roman" w:cs="Times New Roman"/>
          <w:bCs/>
          <w:sz w:val="24"/>
          <w:szCs w:val="24"/>
          <w:lang w:val="en-GB"/>
        </w:rPr>
        <w:t xml:space="preserve">; </w:t>
      </w:r>
    </w:p>
    <w:p w14:paraId="1F072F14" w14:textId="0BC23F15" w:rsidR="00E445AD"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bCs/>
          <w:sz w:val="24"/>
          <w:szCs w:val="24"/>
          <w:lang w:val="en-GB"/>
        </w:rPr>
        <w:t xml:space="preserve">3.13. </w:t>
      </w:r>
      <w:r w:rsidR="00E445AD" w:rsidRPr="00106894">
        <w:rPr>
          <w:rFonts w:ascii="Times New Roman" w:hAnsi="Times New Roman" w:cs="Times New Roman"/>
          <w:b/>
          <w:bCs/>
          <w:sz w:val="24"/>
          <w:szCs w:val="24"/>
          <w:lang w:val="en-GB"/>
        </w:rPr>
        <w:t>Applicant</w:t>
      </w:r>
      <w:r w:rsidR="00E445AD" w:rsidRPr="00106894">
        <w:rPr>
          <w:rFonts w:ascii="Times New Roman" w:hAnsi="Times New Roman" w:cs="Times New Roman"/>
          <w:sz w:val="24"/>
          <w:szCs w:val="24"/>
          <w:lang w:val="en-GB"/>
        </w:rPr>
        <w:t xml:space="preserve"> – a legal entity registered in Lithuania having submitted a project application. After signing a project contract, the Applicant becomes a Project Promoter.</w:t>
      </w:r>
    </w:p>
    <w:p w14:paraId="35383ED3" w14:textId="49CF0409"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sz w:val="24"/>
          <w:szCs w:val="24"/>
          <w:lang w:val="en-GB"/>
        </w:rPr>
        <w:t xml:space="preserve">3.14. </w:t>
      </w:r>
      <w:r w:rsidRPr="00106894">
        <w:rPr>
          <w:rFonts w:ascii="Times New Roman" w:hAnsi="Times New Roman" w:cs="Times New Roman"/>
          <w:b/>
          <w:bCs/>
          <w:sz w:val="24"/>
          <w:szCs w:val="24"/>
          <w:lang w:val="en-GB"/>
        </w:rPr>
        <w:t xml:space="preserve">Process Working Group </w:t>
      </w:r>
      <w:r w:rsidRPr="00106894">
        <w:rPr>
          <w:rFonts w:ascii="Times New Roman" w:hAnsi="Times New Roman" w:cs="Times New Roman"/>
          <w:sz w:val="24"/>
          <w:szCs w:val="24"/>
          <w:lang w:val="en-GB"/>
        </w:rPr>
        <w:t>– a working group for the establishment of processes of administration of EEA and Norwegian financial mechanisms, set up by Order No. 1K-109 of the Minister of Finance of the Republic of Lithuania of 8 March 2018 “Regarding the Formation of a Working Group”</w:t>
      </w:r>
      <w:r w:rsidRPr="00106894">
        <w:rPr>
          <w:rFonts w:ascii="Times New Roman" w:hAnsi="Times New Roman" w:cs="Times New Roman"/>
          <w:bCs/>
          <w:sz w:val="24"/>
          <w:szCs w:val="24"/>
          <w:lang w:val="en-GB"/>
        </w:rPr>
        <w:t xml:space="preserve">; </w:t>
      </w:r>
    </w:p>
    <w:p w14:paraId="1A2DF206" w14:textId="44B6E410" w:rsidR="00BF42A9" w:rsidRPr="00106894" w:rsidRDefault="00BA5314" w:rsidP="00106894">
      <w:pPr>
        <w:pStyle w:val="ListParagraph"/>
        <w:tabs>
          <w:tab w:val="left" w:pos="993"/>
        </w:tabs>
        <w:spacing w:after="120" w:line="240" w:lineRule="auto"/>
        <w:ind w:left="0" w:firstLine="567"/>
        <w:jc w:val="both"/>
        <w:rPr>
          <w:rFonts w:ascii="Times New Roman" w:hAnsi="Times New Roman" w:cs="Times New Roman"/>
          <w:sz w:val="24"/>
          <w:szCs w:val="24"/>
          <w:lang w:val="en-GB" w:eastAsia="lt-LT"/>
        </w:rPr>
      </w:pPr>
      <w:r w:rsidRPr="00106894">
        <w:rPr>
          <w:rFonts w:ascii="Times New Roman" w:hAnsi="Times New Roman" w:cs="Times New Roman"/>
          <w:bCs/>
          <w:sz w:val="24"/>
          <w:szCs w:val="24"/>
          <w:lang w:val="en-GB"/>
        </w:rPr>
        <w:t xml:space="preserve">3.15. </w:t>
      </w:r>
      <w:r w:rsidRPr="00106894">
        <w:rPr>
          <w:rFonts w:ascii="Times New Roman" w:hAnsi="Times New Roman" w:cs="Times New Roman"/>
          <w:b/>
          <w:sz w:val="24"/>
          <w:szCs w:val="24"/>
          <w:lang w:val="en-GB" w:eastAsia="lt-LT"/>
        </w:rPr>
        <w:t>Produ</w:t>
      </w:r>
      <w:r w:rsidR="002F507B" w:rsidRPr="00106894">
        <w:rPr>
          <w:rFonts w:ascii="Times New Roman" w:hAnsi="Times New Roman" w:cs="Times New Roman"/>
          <w:b/>
          <w:sz w:val="24"/>
          <w:szCs w:val="24"/>
          <w:lang w:val="en-GB" w:eastAsia="lt-LT"/>
        </w:rPr>
        <w:t>ct</w:t>
      </w:r>
      <w:r w:rsidRPr="00106894">
        <w:rPr>
          <w:rFonts w:ascii="Times New Roman" w:hAnsi="Times New Roman" w:cs="Times New Roman"/>
          <w:sz w:val="24"/>
          <w:szCs w:val="24"/>
          <w:lang w:val="en-GB" w:eastAsia="lt-LT"/>
        </w:rPr>
        <w:t xml:space="preserve"> – </w:t>
      </w:r>
      <w:r w:rsidR="00BF42A9" w:rsidRPr="00106894">
        <w:rPr>
          <w:rFonts w:ascii="Times New Roman" w:hAnsi="Times New Roman" w:cs="Times New Roman"/>
          <w:sz w:val="24"/>
          <w:szCs w:val="24"/>
          <w:lang w:val="en-GB" w:eastAsia="lt-LT"/>
        </w:rPr>
        <w:t xml:space="preserve">products, tools or services that are intended for a direct target group. </w:t>
      </w:r>
    </w:p>
    <w:p w14:paraId="0CA93449" w14:textId="77777777" w:rsidR="00BA5314"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3.16. </w:t>
      </w:r>
      <w:r w:rsidRPr="00106894">
        <w:rPr>
          <w:rFonts w:ascii="Times New Roman" w:hAnsi="Times New Roman" w:cs="Times New Roman"/>
          <w:b/>
          <w:bCs/>
          <w:sz w:val="24"/>
          <w:szCs w:val="24"/>
          <w:lang w:val="en-GB"/>
        </w:rPr>
        <w:t>Project Partner</w:t>
      </w:r>
      <w:r w:rsidRPr="00106894">
        <w:rPr>
          <w:rFonts w:ascii="Times New Roman" w:hAnsi="Times New Roman" w:cs="Times New Roman"/>
          <w:sz w:val="24"/>
          <w:szCs w:val="24"/>
          <w:lang w:val="en-GB"/>
        </w:rPr>
        <w:t xml:space="preserve"> – a legal person registered in Lithuania or in one of Donor states, actively involved in the preparation of a project application and contributing to the implementation of the project on the basis of a partnership agreement signed with the Project Promoter.</w:t>
      </w:r>
    </w:p>
    <w:p w14:paraId="767B38E2" w14:textId="77777777" w:rsidR="00CB4FE1" w:rsidRPr="00106894" w:rsidRDefault="00BA5314"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3.17. </w:t>
      </w:r>
      <w:r w:rsidRPr="00106894">
        <w:rPr>
          <w:rFonts w:ascii="Times New Roman" w:hAnsi="Times New Roman" w:cs="Times New Roman"/>
          <w:b/>
          <w:bCs/>
          <w:sz w:val="24"/>
          <w:szCs w:val="24"/>
          <w:lang w:val="en-GB"/>
        </w:rPr>
        <w:t>Project Promoter</w:t>
      </w:r>
      <w:r w:rsidRPr="00106894">
        <w:rPr>
          <w:rFonts w:ascii="Times New Roman" w:hAnsi="Times New Roman" w:cs="Times New Roman"/>
          <w:sz w:val="24"/>
          <w:szCs w:val="24"/>
          <w:lang w:val="en-GB"/>
        </w:rPr>
        <w:t xml:space="preserve"> – a legal entity registered in Lithuania to which mechanism, co-financing funds are allocated and which, on a basis of a contract signed with the CPMA, is responsible for the implementation of the project selected under the call „Mechanisms of social inclusion strengthening for children and young people with high-risk behaviours and / or from disadvantaged backgrounds". </w:t>
      </w:r>
    </w:p>
    <w:p w14:paraId="5326225A" w14:textId="5022E209" w:rsidR="00CB4FE1" w:rsidRPr="00106894" w:rsidRDefault="00CB4FE1"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106894">
        <w:rPr>
          <w:rFonts w:ascii="Times New Roman" w:hAnsi="Times New Roman" w:cs="Times New Roman"/>
          <w:bCs/>
          <w:sz w:val="24"/>
          <w:szCs w:val="24"/>
          <w:lang w:val="en-GB"/>
        </w:rPr>
        <w:t xml:space="preserve">3.18. </w:t>
      </w:r>
      <w:r w:rsidRPr="00106894">
        <w:rPr>
          <w:rFonts w:ascii="Times New Roman" w:hAnsi="Times New Roman" w:cs="Times New Roman"/>
          <w:b/>
          <w:bCs/>
          <w:sz w:val="24"/>
          <w:szCs w:val="24"/>
          <w:lang w:val="en-GB"/>
        </w:rPr>
        <w:t>Programme</w:t>
      </w:r>
      <w:r w:rsidRPr="00106894">
        <w:rPr>
          <w:rFonts w:ascii="Times New Roman" w:hAnsi="Times New Roman" w:cs="Times New Roman"/>
          <w:sz w:val="24"/>
          <w:szCs w:val="24"/>
          <w:lang w:val="en-GB"/>
        </w:rPr>
        <w:t xml:space="preserve"> – EEA financial mechanism </w:t>
      </w:r>
      <w:r w:rsidR="00C07284"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 “Health” 2014-2021 (hereinafter also referred to as the Health Programme).</w:t>
      </w:r>
    </w:p>
    <w:p w14:paraId="4645FBC2" w14:textId="310EEC39" w:rsidR="002555EC" w:rsidRDefault="00CB4FE1"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bCs/>
          <w:sz w:val="24"/>
          <w:szCs w:val="24"/>
          <w:lang w:val="en-GB"/>
        </w:rPr>
        <w:t xml:space="preserve">3.19. </w:t>
      </w:r>
      <w:r w:rsidRPr="00106894">
        <w:rPr>
          <w:rFonts w:ascii="Times New Roman" w:hAnsi="Times New Roman" w:cs="Times New Roman"/>
          <w:b/>
          <w:bCs/>
          <w:sz w:val="24"/>
          <w:szCs w:val="24"/>
          <w:lang w:val="en-GB"/>
        </w:rPr>
        <w:t>Outcome</w:t>
      </w:r>
      <w:r w:rsidRPr="00106894">
        <w:rPr>
          <w:rFonts w:ascii="Times New Roman" w:hAnsi="Times New Roman" w:cs="Times New Roman"/>
          <w:sz w:val="24"/>
          <w:szCs w:val="24"/>
          <w:lang w:val="en-GB"/>
        </w:rPr>
        <w:t xml:space="preserve"> - the (short and medium-term) effect of an intervention’s outputs on the intermediaries or end beneficiaries. </w:t>
      </w:r>
    </w:p>
    <w:p w14:paraId="24891E13" w14:textId="3B5390CD" w:rsidR="00FC3DC6" w:rsidRPr="00106894" w:rsidRDefault="00FC3DC6"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sidRPr="00B62E41">
        <w:rPr>
          <w:rFonts w:ascii="Times New Roman" w:hAnsi="Times New Roman" w:cs="Times New Roman"/>
          <w:bCs/>
          <w:sz w:val="24"/>
          <w:szCs w:val="24"/>
          <w:lang w:val="en-GB"/>
        </w:rPr>
        <w:t>3.20.</w:t>
      </w:r>
      <w:r>
        <w:rPr>
          <w:rFonts w:ascii="Times New Roman" w:hAnsi="Times New Roman" w:cs="Times New Roman"/>
          <w:b/>
          <w:sz w:val="24"/>
          <w:szCs w:val="24"/>
          <w:lang w:val="en-GB"/>
        </w:rPr>
        <w:t xml:space="preserve"> </w:t>
      </w:r>
      <w:r w:rsidRPr="00B62E41">
        <w:rPr>
          <w:rFonts w:ascii="Times New Roman" w:hAnsi="Times New Roman" w:cs="Times New Roman"/>
          <w:b/>
          <w:sz w:val="24"/>
          <w:szCs w:val="24"/>
          <w:lang w:val="en-GB"/>
        </w:rPr>
        <w:t xml:space="preserve">Output </w:t>
      </w:r>
      <w:r w:rsidRPr="00B62E41">
        <w:rPr>
          <w:rFonts w:ascii="Times New Roman" w:hAnsi="Times New Roman" w:cs="Times New Roman"/>
          <w:bCs/>
          <w:sz w:val="24"/>
          <w:szCs w:val="24"/>
          <w:lang w:val="en-GB"/>
        </w:rPr>
        <w:t>- the products, capital goods and services delivered by a programme to the intermediaries.</w:t>
      </w:r>
    </w:p>
    <w:p w14:paraId="294C1136" w14:textId="3D2471D1" w:rsidR="00B76DEC" w:rsidRPr="00106894" w:rsidRDefault="00FC3DC6" w:rsidP="00106894">
      <w:pPr>
        <w:pStyle w:val="ListParagraph"/>
        <w:tabs>
          <w:tab w:val="left" w:pos="993"/>
        </w:tabs>
        <w:spacing w:after="120" w:line="240" w:lineRule="auto"/>
        <w:ind w:left="0" w:firstLine="567"/>
        <w:jc w:val="both"/>
        <w:rPr>
          <w:rFonts w:ascii="Times New Roman" w:hAnsi="Times New Roman" w:cs="Times New Roman"/>
          <w:bCs/>
          <w:sz w:val="24"/>
          <w:szCs w:val="24"/>
          <w:lang w:val="en-GB"/>
        </w:rPr>
      </w:pPr>
      <w:r>
        <w:rPr>
          <w:rFonts w:ascii="Times New Roman" w:hAnsi="Times New Roman" w:cs="Times New Roman"/>
          <w:bCs/>
          <w:sz w:val="24"/>
          <w:szCs w:val="24"/>
          <w:lang w:val="en-GB"/>
        </w:rPr>
        <w:t>3.21</w:t>
      </w:r>
      <w:r w:rsidR="002555EC" w:rsidRPr="00106894">
        <w:rPr>
          <w:rFonts w:ascii="Times New Roman" w:hAnsi="Times New Roman" w:cs="Times New Roman"/>
          <w:bCs/>
          <w:sz w:val="24"/>
          <w:szCs w:val="24"/>
          <w:lang w:val="en-GB"/>
        </w:rPr>
        <w:t xml:space="preserve">. </w:t>
      </w:r>
      <w:r w:rsidR="002555EC" w:rsidRPr="00106894">
        <w:rPr>
          <w:rFonts w:ascii="Times New Roman" w:hAnsi="Times New Roman" w:cs="Times New Roman"/>
          <w:b/>
          <w:bCs/>
          <w:sz w:val="24"/>
          <w:szCs w:val="24"/>
          <w:lang w:val="en-GB"/>
        </w:rPr>
        <w:t xml:space="preserve">Market Research – </w:t>
      </w:r>
      <w:r w:rsidR="002555EC" w:rsidRPr="00106894">
        <w:rPr>
          <w:rFonts w:ascii="Times New Roman" w:hAnsi="Times New Roman" w:cs="Times New Roman"/>
          <w:sz w:val="24"/>
          <w:szCs w:val="24"/>
          <w:lang w:val="en-GB"/>
        </w:rPr>
        <w:t>collection of qualitative and quantitative information on the supply of goods, services, suppliers, goods supplied, services provided by them, and service prices, their analysis and preparation of general conclusions for making decisions on the funds needed for the procurement of the project.</w:t>
      </w:r>
    </w:p>
    <w:p w14:paraId="63BD0476" w14:textId="2F35C26E" w:rsidR="007E59B2" w:rsidRPr="00106894" w:rsidRDefault="00FC3DC6"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bCs/>
          <w:sz w:val="24"/>
          <w:szCs w:val="24"/>
          <w:lang w:val="en-GB"/>
        </w:rPr>
        <w:t>3.22</w:t>
      </w:r>
      <w:r w:rsidR="00B76DEC" w:rsidRPr="00106894">
        <w:rPr>
          <w:rFonts w:ascii="Times New Roman" w:hAnsi="Times New Roman" w:cs="Times New Roman"/>
          <w:bCs/>
          <w:sz w:val="24"/>
          <w:szCs w:val="24"/>
          <w:lang w:val="en-GB"/>
        </w:rPr>
        <w:t xml:space="preserve">. </w:t>
      </w:r>
      <w:r w:rsidR="00B76DEC" w:rsidRPr="00106894">
        <w:rPr>
          <w:rFonts w:ascii="Times New Roman" w:hAnsi="Times New Roman" w:cs="Times New Roman"/>
          <w:b/>
          <w:bCs/>
          <w:sz w:val="24"/>
          <w:szCs w:val="24"/>
          <w:lang w:val="en-GB"/>
        </w:rPr>
        <w:t xml:space="preserve">Indicator </w:t>
      </w:r>
      <w:r w:rsidR="00B76DEC" w:rsidRPr="00106894">
        <w:rPr>
          <w:rFonts w:ascii="Times New Roman" w:hAnsi="Times New Roman" w:cs="Times New Roman"/>
          <w:sz w:val="24"/>
          <w:szCs w:val="24"/>
          <w:lang w:val="en-GB"/>
        </w:rPr>
        <w:t>- a quantitative or qualitative variable that specifies what is to be measured along a scale or dimension.</w:t>
      </w:r>
    </w:p>
    <w:p w14:paraId="0ECFC585" w14:textId="5C480F0E" w:rsidR="00841520" w:rsidRPr="00106894" w:rsidRDefault="00FC3DC6" w:rsidP="00106894">
      <w:pPr>
        <w:pStyle w:val="ListParagraph"/>
        <w:tabs>
          <w:tab w:val="left" w:pos="993"/>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3.23</w:t>
      </w:r>
      <w:r w:rsidR="007E59B2" w:rsidRPr="00106894">
        <w:rPr>
          <w:rFonts w:ascii="Times New Roman" w:hAnsi="Times New Roman" w:cs="Times New Roman"/>
          <w:sz w:val="24"/>
          <w:szCs w:val="24"/>
          <w:lang w:val="en-GB"/>
        </w:rPr>
        <w:t xml:space="preserve">. </w:t>
      </w:r>
      <w:r w:rsidR="00841520" w:rsidRPr="00106894">
        <w:rPr>
          <w:rFonts w:ascii="Times New Roman" w:hAnsi="Times New Roman" w:cs="Times New Roman"/>
          <w:b/>
          <w:bCs/>
          <w:sz w:val="24"/>
          <w:szCs w:val="24"/>
          <w:lang w:val="en-GB"/>
        </w:rPr>
        <w:t xml:space="preserve">Public authorities (national, regional and local authorities) </w:t>
      </w:r>
      <w:r w:rsidR="00841520" w:rsidRPr="00106894">
        <w:rPr>
          <w:rFonts w:ascii="Times New Roman" w:hAnsi="Times New Roman" w:cs="Times New Roman"/>
          <w:sz w:val="24"/>
          <w:szCs w:val="24"/>
          <w:lang w:val="en-GB"/>
        </w:rPr>
        <w:t>- a State or municipal institution or body. State or municipal institution or body - representative, head of state, executive, judicial authority, law enforcement institutions and bodies, institutions and bodies performing audit, control (supervision), other state and municipal institutions and bodies financed from the state or municipal budgets and state monetary funds and to which public administration powers have been granted in accordance with the procedure established by the Law on Public Administration of the Republic of Lithuania.</w:t>
      </w:r>
    </w:p>
    <w:p w14:paraId="3CFC5673" w14:textId="0945CE17" w:rsidR="003B5B6D" w:rsidRPr="00106894" w:rsidRDefault="00FC3DC6" w:rsidP="00106894">
      <w:pPr>
        <w:pStyle w:val="ListParagraph"/>
        <w:tabs>
          <w:tab w:val="left" w:pos="993"/>
        </w:tabs>
        <w:spacing w:after="120" w:line="240" w:lineRule="auto"/>
        <w:ind w:left="0" w:firstLine="567"/>
        <w:jc w:val="both"/>
        <w:rPr>
          <w:rFonts w:ascii="Times New Roman" w:hAnsi="Times New Roman" w:cs="Times New Roman"/>
          <w:b/>
          <w:bCs/>
          <w:sz w:val="24"/>
          <w:szCs w:val="24"/>
          <w:lang w:val="en-GB"/>
        </w:rPr>
      </w:pPr>
      <w:r>
        <w:rPr>
          <w:rFonts w:ascii="Times New Roman" w:hAnsi="Times New Roman" w:cs="Times New Roman"/>
          <w:bCs/>
          <w:sz w:val="24"/>
          <w:szCs w:val="24"/>
          <w:lang w:val="en-GB"/>
        </w:rPr>
        <w:t>3.24</w:t>
      </w:r>
      <w:r w:rsidR="00C7036D" w:rsidRPr="00106894">
        <w:rPr>
          <w:rFonts w:ascii="Times New Roman" w:hAnsi="Times New Roman" w:cs="Times New Roman"/>
          <w:bCs/>
          <w:sz w:val="24"/>
          <w:szCs w:val="24"/>
          <w:lang w:val="en-GB"/>
        </w:rPr>
        <w:t xml:space="preserve">. </w:t>
      </w:r>
      <w:r w:rsidR="00C7036D" w:rsidRPr="00106894">
        <w:rPr>
          <w:rFonts w:ascii="Times New Roman" w:hAnsi="Times New Roman" w:cs="Times New Roman"/>
          <w:b/>
          <w:bCs/>
          <w:sz w:val="24"/>
          <w:szCs w:val="24"/>
          <w:lang w:val="en-GB"/>
        </w:rPr>
        <w:t xml:space="preserve">Donor States </w:t>
      </w:r>
      <w:r w:rsidR="00C7036D" w:rsidRPr="00106894">
        <w:rPr>
          <w:rFonts w:ascii="Times New Roman" w:hAnsi="Times New Roman" w:cs="Times New Roman"/>
          <w:sz w:val="24"/>
          <w:szCs w:val="24"/>
          <w:lang w:val="en-GB"/>
        </w:rPr>
        <w:t>– the Republic of Iceland, the Principality of Liechtenstein and the Kingdom of Norway.</w:t>
      </w:r>
      <w:r w:rsidR="00C7036D" w:rsidRPr="00106894">
        <w:rPr>
          <w:rFonts w:ascii="Times New Roman" w:hAnsi="Times New Roman" w:cs="Times New Roman"/>
          <w:b/>
          <w:bCs/>
          <w:sz w:val="24"/>
          <w:szCs w:val="24"/>
          <w:lang w:val="en-GB"/>
        </w:rPr>
        <w:t xml:space="preserve"> </w:t>
      </w:r>
    </w:p>
    <w:p w14:paraId="7BC1A6FF" w14:textId="3B09E7AB" w:rsidR="00261F06" w:rsidRPr="00106894" w:rsidRDefault="003B5B6D" w:rsidP="00106894">
      <w:pPr>
        <w:pStyle w:val="ListParagraph"/>
        <w:tabs>
          <w:tab w:val="left" w:pos="993"/>
        </w:tabs>
        <w:spacing w:after="120" w:line="240" w:lineRule="auto"/>
        <w:ind w:left="0"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4.</w:t>
      </w:r>
      <w:r w:rsidRPr="00106894">
        <w:rPr>
          <w:rFonts w:ascii="Times New Roman" w:hAnsi="Times New Roman" w:cs="Times New Roman"/>
          <w:b/>
          <w:bCs/>
          <w:sz w:val="24"/>
          <w:szCs w:val="24"/>
          <w:lang w:val="en-GB"/>
        </w:rPr>
        <w:t xml:space="preserve"> </w:t>
      </w:r>
      <w:r w:rsidR="00261F06" w:rsidRPr="00106894">
        <w:rPr>
          <w:rFonts w:ascii="Times New Roman" w:hAnsi="Times New Roman" w:cs="Times New Roman"/>
          <w:sz w:val="24"/>
          <w:szCs w:val="24"/>
          <w:lang w:val="en-GB"/>
        </w:rPr>
        <w:t>Other terms used in the Guidelines shall be understood as defined in the legal acts referred to in Item 2.</w:t>
      </w:r>
    </w:p>
    <w:p w14:paraId="573F569D" w14:textId="62E5A53A" w:rsidR="000E7C80" w:rsidRDefault="000E7C80">
      <w:pPr>
        <w:spacing w:line="259" w:lineRule="auto"/>
        <w:rPr>
          <w:rFonts w:ascii="Times New Roman" w:hAnsi="Times New Roman" w:cs="Times New Roman"/>
          <w:sz w:val="24"/>
          <w:szCs w:val="24"/>
          <w:lang w:val="en-GB" w:eastAsia="lt-LT"/>
        </w:rPr>
      </w:pPr>
      <w:r>
        <w:rPr>
          <w:rFonts w:ascii="Times New Roman" w:hAnsi="Times New Roman" w:cs="Times New Roman"/>
          <w:sz w:val="24"/>
          <w:szCs w:val="24"/>
          <w:lang w:val="en-GB" w:eastAsia="lt-LT"/>
        </w:rPr>
        <w:br w:type="page"/>
      </w:r>
    </w:p>
    <w:p w14:paraId="79BE8F69" w14:textId="343D5D2B" w:rsidR="005A4892" w:rsidRPr="00106894" w:rsidRDefault="005A4892" w:rsidP="00106894">
      <w:pPr>
        <w:pStyle w:val="ListParagraph"/>
        <w:numPr>
          <w:ilvl w:val="0"/>
          <w:numId w:val="3"/>
        </w:numPr>
        <w:tabs>
          <w:tab w:val="left" w:pos="993"/>
        </w:tabs>
        <w:spacing w:after="120" w:line="240" w:lineRule="auto"/>
        <w:ind w:left="0" w:firstLine="567"/>
        <w:jc w:val="center"/>
        <w:rPr>
          <w:rFonts w:ascii="Times New Roman" w:hAnsi="Times New Roman" w:cs="Times New Roman"/>
          <w:b/>
          <w:bCs/>
          <w:sz w:val="24"/>
          <w:szCs w:val="24"/>
          <w:lang w:val="en-GB"/>
        </w:rPr>
      </w:pPr>
      <w:r w:rsidRPr="00106894">
        <w:rPr>
          <w:rFonts w:ascii="Times New Roman" w:hAnsi="Times New Roman" w:cs="Times New Roman"/>
          <w:b/>
          <w:bCs/>
          <w:caps/>
          <w:sz w:val="24"/>
          <w:szCs w:val="24"/>
          <w:lang w:val="en-GB" w:eastAsia="lt-LT"/>
        </w:rPr>
        <w:lastRenderedPageBreak/>
        <w:t>Objectives of the programme “HEALTH” and areas of support</w:t>
      </w:r>
    </w:p>
    <w:p w14:paraId="4B75240D" w14:textId="5687639A" w:rsidR="008F48A3" w:rsidRPr="00106894" w:rsidRDefault="008F48A3"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 The aim of the Programme is improving prevention and reducing health inequalities.</w:t>
      </w:r>
    </w:p>
    <w:p w14:paraId="35F41570" w14:textId="60CF26E1" w:rsidR="00363BA7" w:rsidRPr="00106894" w:rsidRDefault="008F48A3"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6. </w:t>
      </w:r>
      <w:r w:rsidR="00363BA7" w:rsidRPr="00106894">
        <w:rPr>
          <w:rFonts w:ascii="Times New Roman" w:hAnsi="Times New Roman" w:cs="Times New Roman"/>
          <w:sz w:val="24"/>
          <w:szCs w:val="24"/>
          <w:lang w:val="en-GB"/>
        </w:rPr>
        <w:t xml:space="preserve">The open call “Implementation of the Model of Well-being </w:t>
      </w:r>
      <w:r w:rsidR="00511355">
        <w:rPr>
          <w:rFonts w:ascii="Times New Roman" w:hAnsi="Times New Roman" w:cs="Times New Roman"/>
          <w:sz w:val="24"/>
          <w:szCs w:val="24"/>
          <w:lang w:val="en-GB"/>
        </w:rPr>
        <w:t>Adviser</w:t>
      </w:r>
      <w:r w:rsidR="00363BA7" w:rsidRPr="00106894">
        <w:rPr>
          <w:rFonts w:ascii="Times New Roman" w:hAnsi="Times New Roman" w:cs="Times New Roman"/>
          <w:sz w:val="24"/>
          <w:szCs w:val="24"/>
          <w:lang w:val="en-GB"/>
        </w:rPr>
        <w:t>s of the Programme” (hereinafter – the Call) of the Programme will be aimed at improving and strengthening community mental health services by implementi</w:t>
      </w:r>
      <w:r w:rsidR="00511355">
        <w:rPr>
          <w:rFonts w:ascii="Times New Roman" w:hAnsi="Times New Roman" w:cs="Times New Roman"/>
          <w:sz w:val="24"/>
          <w:szCs w:val="24"/>
          <w:lang w:val="en-GB"/>
        </w:rPr>
        <w:t>ng the provision of Well-being A</w:t>
      </w:r>
      <w:r w:rsidR="00363BA7" w:rsidRPr="00106894">
        <w:rPr>
          <w:rFonts w:ascii="Times New Roman" w:hAnsi="Times New Roman" w:cs="Times New Roman"/>
          <w:sz w:val="24"/>
          <w:szCs w:val="24"/>
          <w:lang w:val="en-GB"/>
        </w:rPr>
        <w:t xml:space="preserve">dviser services in the specific municipality (municipalities). </w:t>
      </w:r>
    </w:p>
    <w:p w14:paraId="152435AB" w14:textId="279D9BBD" w:rsidR="00FC7835" w:rsidRPr="00106894" w:rsidRDefault="00FC7835" w:rsidP="00106894">
      <w:pPr>
        <w:tabs>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7. The following are the activities to be financed by the open call:</w:t>
      </w:r>
    </w:p>
    <w:p w14:paraId="1042FE0E" w14:textId="24BB39ED" w:rsidR="00363BA7" w:rsidRPr="00106894" w:rsidRDefault="00363BA7" w:rsidP="00106894">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Equipping the places </w:t>
      </w:r>
      <w:r w:rsidR="00511355">
        <w:rPr>
          <w:rFonts w:ascii="Times New Roman" w:hAnsi="Times New Roman" w:cs="Times New Roman"/>
          <w:sz w:val="24"/>
          <w:szCs w:val="24"/>
          <w:lang w:val="en-GB"/>
        </w:rPr>
        <w:t>of the provision of Well-being A</w:t>
      </w:r>
      <w:r w:rsidRPr="00106894">
        <w:rPr>
          <w:rFonts w:ascii="Times New Roman" w:hAnsi="Times New Roman" w:cs="Times New Roman"/>
          <w:sz w:val="24"/>
          <w:szCs w:val="24"/>
          <w:lang w:val="en-GB"/>
        </w:rPr>
        <w:t xml:space="preserve">dviser services; </w:t>
      </w:r>
    </w:p>
    <w:p w14:paraId="674A562B" w14:textId="70F13C18" w:rsidR="00363BA7" w:rsidRDefault="00511355" w:rsidP="00106894">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Provision of Well-being A</w:t>
      </w:r>
      <w:r w:rsidR="00363BA7" w:rsidRPr="00106894">
        <w:rPr>
          <w:rFonts w:ascii="Times New Roman" w:hAnsi="Times New Roman" w:cs="Times New Roman"/>
          <w:sz w:val="24"/>
          <w:szCs w:val="24"/>
          <w:lang w:val="en-GB"/>
        </w:rPr>
        <w:t xml:space="preserve">dviser service; </w:t>
      </w:r>
    </w:p>
    <w:p w14:paraId="349A81B3" w14:textId="089D53AE" w:rsidR="00511355" w:rsidRPr="00511355" w:rsidRDefault="00511355" w:rsidP="00511355">
      <w:pPr>
        <w:pStyle w:val="ListParagraph"/>
        <w:numPr>
          <w:ilvl w:val="1"/>
          <w:numId w:val="11"/>
        </w:numPr>
        <w:tabs>
          <w:tab w:val="left" w:pos="709"/>
          <w:tab w:val="left" w:pos="993"/>
          <w:tab w:val="left" w:pos="1134"/>
        </w:tabs>
        <w:spacing w:after="0" w:line="259" w:lineRule="auto"/>
        <w:ind w:left="0" w:firstLine="567"/>
        <w:jc w:val="both"/>
        <w:rPr>
          <w:rFonts w:ascii="Times New Roman" w:hAnsi="Times New Roman" w:cs="Times New Roman"/>
          <w:sz w:val="24"/>
          <w:szCs w:val="24"/>
          <w:lang w:val="en-GB"/>
        </w:rPr>
      </w:pPr>
      <w:r w:rsidRPr="00511355">
        <w:rPr>
          <w:rFonts w:ascii="Times New Roman" w:hAnsi="Times New Roman" w:cs="Times New Roman"/>
          <w:sz w:val="24"/>
          <w:szCs w:val="24"/>
          <w:lang w:val="en-GB"/>
        </w:rPr>
        <w:t xml:space="preserve">Activities and initiatives that increase the publicity of Well-being Advisers services and </w:t>
      </w:r>
      <w:r w:rsidR="00FB5F3A">
        <w:rPr>
          <w:rFonts w:ascii="Times New Roman" w:hAnsi="Times New Roman" w:cs="Times New Roman"/>
          <w:sz w:val="24"/>
          <w:szCs w:val="24"/>
          <w:lang w:val="en-GB"/>
        </w:rPr>
        <w:t xml:space="preserve">the </w:t>
      </w:r>
      <w:r w:rsidRPr="00511355">
        <w:rPr>
          <w:rFonts w:ascii="Times New Roman" w:hAnsi="Times New Roman" w:cs="Times New Roman"/>
          <w:sz w:val="24"/>
          <w:szCs w:val="24"/>
          <w:lang w:val="en-GB"/>
        </w:rPr>
        <w:t>interest of service recipients in the specific municipality (municipalities).</w:t>
      </w:r>
    </w:p>
    <w:p w14:paraId="4BB193BC" w14:textId="66729DBF" w:rsidR="00437D97" w:rsidRPr="00106894" w:rsidRDefault="002A4E16" w:rsidP="00106894">
      <w:pPr>
        <w:pStyle w:val="ListParagraph"/>
        <w:tabs>
          <w:tab w:val="left" w:pos="993"/>
          <w:tab w:val="left" w:pos="1134"/>
          <w:tab w:val="left" w:pos="1701"/>
        </w:tabs>
        <w:spacing w:after="0"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8.</w:t>
      </w:r>
      <w:r w:rsidR="00437D97" w:rsidRPr="00106894">
        <w:rPr>
          <w:rFonts w:ascii="Times New Roman" w:hAnsi="Times New Roman" w:cs="Times New Roman"/>
          <w:sz w:val="24"/>
          <w:szCs w:val="24"/>
          <w:lang w:val="en-GB"/>
        </w:rPr>
        <w:t xml:space="preserve"> EUR </w:t>
      </w:r>
      <w:r w:rsidRPr="00106894">
        <w:rPr>
          <w:rFonts w:ascii="Times New Roman" w:hAnsi="Times New Roman" w:cs="Times New Roman"/>
          <w:sz w:val="24"/>
          <w:szCs w:val="24"/>
          <w:lang w:val="en-GB"/>
        </w:rPr>
        <w:t>1</w:t>
      </w:r>
      <w:r w:rsidR="00437D97" w:rsidRPr="00106894">
        <w:rPr>
          <w:rFonts w:ascii="Times New Roman" w:hAnsi="Times New Roman" w:cs="Times New Roman"/>
          <w:sz w:val="24"/>
          <w:szCs w:val="24"/>
          <w:lang w:val="en-GB"/>
        </w:rPr>
        <w:t> </w:t>
      </w:r>
      <w:r w:rsidRPr="00106894">
        <w:rPr>
          <w:rFonts w:ascii="Times New Roman" w:hAnsi="Times New Roman" w:cs="Times New Roman"/>
          <w:sz w:val="24"/>
          <w:szCs w:val="24"/>
          <w:lang w:val="en-GB"/>
        </w:rPr>
        <w:t>420</w:t>
      </w:r>
      <w:r w:rsidR="00437D97" w:rsidRPr="00106894">
        <w:rPr>
          <w:rFonts w:ascii="Times New Roman" w:hAnsi="Times New Roman" w:cs="Times New Roman"/>
          <w:sz w:val="24"/>
          <w:szCs w:val="24"/>
          <w:lang w:val="en-GB"/>
        </w:rPr>
        <w:t> </w:t>
      </w:r>
      <w:r w:rsidRPr="00106894">
        <w:rPr>
          <w:rFonts w:ascii="Times New Roman" w:hAnsi="Times New Roman" w:cs="Times New Roman"/>
          <w:sz w:val="24"/>
          <w:szCs w:val="24"/>
          <w:lang w:val="en-GB"/>
        </w:rPr>
        <w:t>000</w:t>
      </w:r>
      <w:r w:rsidR="00437D97" w:rsidRPr="00106894">
        <w:rPr>
          <w:rFonts w:ascii="Times New Roman" w:hAnsi="Times New Roman" w:cs="Times New Roman"/>
          <w:sz w:val="24"/>
          <w:szCs w:val="24"/>
          <w:lang w:val="en-GB"/>
        </w:rPr>
        <w:t>.</w:t>
      </w:r>
      <w:r w:rsidRPr="00106894">
        <w:rPr>
          <w:rFonts w:ascii="Times New Roman" w:hAnsi="Times New Roman" w:cs="Times New Roman"/>
          <w:sz w:val="24"/>
          <w:szCs w:val="24"/>
          <w:lang w:val="en-GB"/>
        </w:rPr>
        <w:t xml:space="preserve">00 </w:t>
      </w:r>
      <w:r w:rsidR="00437D97" w:rsidRPr="00106894">
        <w:rPr>
          <w:rFonts w:ascii="Times New Roman" w:hAnsi="Times New Roman" w:cs="Times New Roman"/>
          <w:sz w:val="24"/>
          <w:szCs w:val="24"/>
          <w:lang w:val="en-GB"/>
        </w:rPr>
        <w:t>(of which EUR 1</w:t>
      </w:r>
      <w:r w:rsidR="00820832">
        <w:rPr>
          <w:rFonts w:ascii="Times New Roman" w:hAnsi="Times New Roman" w:cs="Times New Roman"/>
          <w:sz w:val="24"/>
          <w:szCs w:val="24"/>
          <w:lang w:val="en-GB"/>
        </w:rPr>
        <w:t> </w:t>
      </w:r>
      <w:r w:rsidR="00437D97" w:rsidRPr="00106894">
        <w:rPr>
          <w:rFonts w:ascii="Times New Roman" w:hAnsi="Times New Roman" w:cs="Times New Roman"/>
          <w:sz w:val="24"/>
          <w:szCs w:val="24"/>
          <w:lang w:val="en-GB"/>
        </w:rPr>
        <w:t>207</w:t>
      </w:r>
      <w:r w:rsidR="00820832">
        <w:rPr>
          <w:rFonts w:ascii="Times New Roman" w:hAnsi="Times New Roman" w:cs="Times New Roman"/>
          <w:sz w:val="24"/>
          <w:szCs w:val="24"/>
          <w:lang w:val="en-GB"/>
        </w:rPr>
        <w:t xml:space="preserve"> 000</w:t>
      </w:r>
      <w:r w:rsidR="00437D97" w:rsidRPr="00106894">
        <w:rPr>
          <w:rFonts w:ascii="Times New Roman" w:hAnsi="Times New Roman" w:cs="Times New Roman"/>
          <w:sz w:val="24"/>
          <w:szCs w:val="24"/>
          <w:lang w:val="en-GB"/>
        </w:rPr>
        <w:t xml:space="preserve">.00 from the </w:t>
      </w:r>
      <w:r w:rsidR="00FC3DC6">
        <w:rPr>
          <w:rFonts w:ascii="Times New Roman" w:hAnsi="Times New Roman" w:cs="Times New Roman"/>
          <w:sz w:val="24"/>
          <w:szCs w:val="24"/>
          <w:lang w:val="en-GB"/>
        </w:rPr>
        <w:t xml:space="preserve">Financial </w:t>
      </w:r>
      <w:r w:rsidR="00437D97" w:rsidRPr="00106894">
        <w:rPr>
          <w:rFonts w:ascii="Times New Roman" w:hAnsi="Times New Roman" w:cs="Times New Roman"/>
          <w:sz w:val="24"/>
          <w:szCs w:val="24"/>
          <w:lang w:val="en-GB"/>
        </w:rPr>
        <w:t>Mechanism Funds and EUR 213 000.00 from co-financing funds)</w:t>
      </w:r>
      <w:r w:rsidR="00A45D1D" w:rsidRPr="00106894">
        <w:rPr>
          <w:rFonts w:ascii="Times New Roman" w:hAnsi="Times New Roman" w:cs="Times New Roman"/>
          <w:sz w:val="24"/>
          <w:szCs w:val="24"/>
          <w:lang w:val="en-GB"/>
        </w:rPr>
        <w:t xml:space="preserve"> s</w:t>
      </w:r>
      <w:r w:rsidR="00437D97" w:rsidRPr="00106894">
        <w:rPr>
          <w:rFonts w:ascii="Times New Roman" w:hAnsi="Times New Roman" w:cs="Times New Roman"/>
          <w:sz w:val="24"/>
          <w:szCs w:val="24"/>
          <w:lang w:val="en-GB"/>
        </w:rPr>
        <w:t xml:space="preserve">hall be allocated for the implementation of the projects under the call. </w:t>
      </w:r>
    </w:p>
    <w:p w14:paraId="725EFFB6" w14:textId="065ECC40" w:rsidR="00437D97" w:rsidRPr="00106894" w:rsidRDefault="00090EF8" w:rsidP="00106894">
      <w:pPr>
        <w:pStyle w:val="ListParagraph"/>
        <w:tabs>
          <w:tab w:val="left" w:pos="993"/>
          <w:tab w:val="left" w:pos="1134"/>
          <w:tab w:val="left" w:pos="1701"/>
        </w:tabs>
        <w:spacing w:after="0"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9. </w:t>
      </w:r>
      <w:r w:rsidR="00437D97" w:rsidRPr="00106894">
        <w:rPr>
          <w:rFonts w:ascii="Times New Roman" w:hAnsi="Times New Roman" w:cs="Times New Roman"/>
          <w:sz w:val="24"/>
          <w:szCs w:val="24"/>
          <w:lang w:val="en-GB"/>
        </w:rPr>
        <w:t xml:space="preserve">All information on the Programme and the submission of Programme project applications is published online at </w:t>
      </w:r>
      <w:hyperlink r:id="rId8" w:history="1">
        <w:r w:rsidR="00437D97" w:rsidRPr="00106894">
          <w:rPr>
            <w:rStyle w:val="Hyperlink"/>
            <w:rFonts w:ascii="Times New Roman" w:hAnsi="Times New Roman" w:cs="Times New Roman"/>
            <w:sz w:val="24"/>
            <w:szCs w:val="24"/>
            <w:lang w:val="en-GB"/>
          </w:rPr>
          <w:t>www.eeagrants.lt</w:t>
        </w:r>
      </w:hyperlink>
      <w:r w:rsidR="00437D97" w:rsidRPr="00106894">
        <w:rPr>
          <w:rFonts w:ascii="Times New Roman" w:hAnsi="Times New Roman" w:cs="Times New Roman"/>
          <w:sz w:val="24"/>
          <w:szCs w:val="24"/>
          <w:lang w:val="en-GB"/>
        </w:rPr>
        <w:t xml:space="preserve"> and </w:t>
      </w:r>
      <w:hyperlink r:id="rId9" w:history="1">
        <w:r w:rsidR="00437D97" w:rsidRPr="00106894">
          <w:rPr>
            <w:rStyle w:val="Hyperlink"/>
            <w:rFonts w:ascii="Times New Roman" w:hAnsi="Times New Roman" w:cs="Times New Roman"/>
            <w:sz w:val="24"/>
            <w:szCs w:val="24"/>
            <w:lang w:val="en-GB"/>
          </w:rPr>
          <w:t>www.cpva.lt</w:t>
        </w:r>
      </w:hyperlink>
      <w:r w:rsidR="00437D97" w:rsidRPr="00106894">
        <w:rPr>
          <w:rFonts w:ascii="Times New Roman" w:hAnsi="Times New Roman" w:cs="Times New Roman"/>
          <w:sz w:val="24"/>
          <w:szCs w:val="24"/>
          <w:lang w:val="en-GB"/>
        </w:rPr>
        <w:t xml:space="preserve">. </w:t>
      </w:r>
    </w:p>
    <w:p w14:paraId="14AB1CB8" w14:textId="33EA9ECD" w:rsidR="00370983" w:rsidRPr="00106894" w:rsidRDefault="00370983" w:rsidP="00106894">
      <w:pPr>
        <w:tabs>
          <w:tab w:val="left" w:pos="993"/>
        </w:tabs>
        <w:ind w:firstLine="567"/>
        <w:rPr>
          <w:rFonts w:ascii="Times New Roman" w:hAnsi="Times New Roman" w:cs="Times New Roman"/>
          <w:b/>
          <w:bCs/>
          <w:sz w:val="24"/>
          <w:szCs w:val="24"/>
          <w:lang w:val="en-GB"/>
        </w:rPr>
      </w:pPr>
    </w:p>
    <w:p w14:paraId="2716C965" w14:textId="4A1CFD59" w:rsidR="00624D6B" w:rsidRPr="00106894" w:rsidRDefault="00624D6B" w:rsidP="00106894">
      <w:pPr>
        <w:pStyle w:val="ListParagraph"/>
        <w:numPr>
          <w:ilvl w:val="0"/>
          <w:numId w:val="3"/>
        </w:numPr>
        <w:tabs>
          <w:tab w:val="left" w:pos="993"/>
        </w:tabs>
        <w:spacing w:after="120" w:line="240" w:lineRule="auto"/>
        <w:ind w:left="0"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requirements for APPLICANTS, PROJECT PARTNERS AND the partnership agreement </w:t>
      </w:r>
    </w:p>
    <w:p w14:paraId="562E3493" w14:textId="2D0D7A3D" w:rsidR="00002CBD" w:rsidRPr="00106894" w:rsidRDefault="006032F1" w:rsidP="00106894">
      <w:pPr>
        <w:tabs>
          <w:tab w:val="left" w:pos="993"/>
        </w:tabs>
        <w:spacing w:after="0" w:line="257" w:lineRule="auto"/>
        <w:ind w:firstLine="567"/>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10. </w:t>
      </w:r>
      <w:r w:rsidR="00002CBD" w:rsidRPr="00106894">
        <w:rPr>
          <w:rFonts w:ascii="Times New Roman" w:hAnsi="Times New Roman" w:cs="Times New Roman"/>
          <w:sz w:val="24"/>
          <w:szCs w:val="24"/>
          <w:lang w:val="en-GB"/>
        </w:rPr>
        <w:t>Potential applicants are Public institutions of the Republic of Lithuania (national, regional and</w:t>
      </w:r>
    </w:p>
    <w:p w14:paraId="3B9F813B" w14:textId="21C9BEDF" w:rsidR="00002CBD" w:rsidRPr="00106894" w:rsidRDefault="00002CBD" w:rsidP="00106894">
      <w:pPr>
        <w:tabs>
          <w:tab w:val="left" w:pos="993"/>
        </w:tabs>
        <w:spacing w:after="0" w:line="257" w:lineRule="auto"/>
        <w:rPr>
          <w:rFonts w:ascii="Times New Roman" w:hAnsi="Times New Roman" w:cs="Times New Roman"/>
          <w:sz w:val="24"/>
          <w:szCs w:val="24"/>
          <w:lang w:val="en-GB"/>
        </w:rPr>
      </w:pPr>
      <w:proofErr w:type="gramStart"/>
      <w:r w:rsidRPr="00106894">
        <w:rPr>
          <w:rFonts w:ascii="Times New Roman" w:hAnsi="Times New Roman" w:cs="Times New Roman"/>
          <w:sz w:val="24"/>
          <w:szCs w:val="24"/>
          <w:lang w:val="en-GB"/>
        </w:rPr>
        <w:t>local</w:t>
      </w:r>
      <w:proofErr w:type="gramEnd"/>
      <w:r w:rsidRPr="00106894">
        <w:rPr>
          <w:rFonts w:ascii="Times New Roman" w:hAnsi="Times New Roman" w:cs="Times New Roman"/>
          <w:sz w:val="24"/>
          <w:szCs w:val="24"/>
          <w:lang w:val="en-GB"/>
        </w:rPr>
        <w:t xml:space="preserve"> authorities which correspon</w:t>
      </w:r>
      <w:r w:rsidR="00421D47">
        <w:rPr>
          <w:rFonts w:ascii="Times New Roman" w:hAnsi="Times New Roman" w:cs="Times New Roman"/>
          <w:sz w:val="24"/>
          <w:szCs w:val="24"/>
          <w:lang w:val="en-GB"/>
        </w:rPr>
        <w:t>d to the definition in Item 3.2</w:t>
      </w:r>
      <w:r w:rsidR="00FC3DC6">
        <w:rPr>
          <w:rFonts w:ascii="Times New Roman" w:hAnsi="Times New Roman" w:cs="Times New Roman"/>
          <w:sz w:val="24"/>
          <w:szCs w:val="24"/>
          <w:lang w:val="en-GB"/>
        </w:rPr>
        <w:t>3</w:t>
      </w:r>
      <w:r w:rsidRPr="00106894">
        <w:rPr>
          <w:rFonts w:ascii="Times New Roman" w:hAnsi="Times New Roman" w:cs="Times New Roman"/>
          <w:sz w:val="24"/>
          <w:szCs w:val="24"/>
          <w:lang w:val="en-GB"/>
        </w:rPr>
        <w:t xml:space="preserve"> of these Guidelines).</w:t>
      </w:r>
    </w:p>
    <w:p w14:paraId="09800B9B" w14:textId="73E1E12B" w:rsidR="00EF24EE" w:rsidRPr="00106894" w:rsidRDefault="006032F1"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11. </w:t>
      </w:r>
      <w:r w:rsidR="00EF24EE" w:rsidRPr="00106894">
        <w:rPr>
          <w:rFonts w:ascii="Times New Roman" w:hAnsi="Times New Roman" w:cs="Times New Roman"/>
          <w:sz w:val="24"/>
          <w:szCs w:val="24"/>
          <w:lang w:val="en-GB"/>
        </w:rPr>
        <w:t>Potential Project Partners are public institutions of the Republic of Lithuania and donor countries (national, regional and local authorities which correspon</w:t>
      </w:r>
      <w:r w:rsidR="00FC3DC6">
        <w:rPr>
          <w:rFonts w:ascii="Times New Roman" w:hAnsi="Times New Roman" w:cs="Times New Roman"/>
          <w:sz w:val="24"/>
          <w:szCs w:val="24"/>
          <w:lang w:val="en-GB"/>
        </w:rPr>
        <w:t>d to the definition in Item 3.23</w:t>
      </w:r>
      <w:r w:rsidR="00EF24EE" w:rsidRPr="00106894">
        <w:rPr>
          <w:rFonts w:ascii="Times New Roman" w:hAnsi="Times New Roman" w:cs="Times New Roman"/>
          <w:sz w:val="24"/>
          <w:szCs w:val="24"/>
          <w:lang w:val="en-GB"/>
        </w:rPr>
        <w:t xml:space="preserve"> of these Guidelines), as well as non-profit legal entities and non-governmental organizations which will make a real contribution during the project activities and/or will actively use the results that have been generated during the project.</w:t>
      </w:r>
    </w:p>
    <w:p w14:paraId="6BE43F44" w14:textId="070A26BB" w:rsidR="00D13CE2" w:rsidRPr="00106894" w:rsidRDefault="007A5868"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12. In this call, the same institution can submit one application only as an Applicant. Should an Applicant submit more than one application, the first submitted application only shall be assessed (based on the date and time of its submission), and all other applications shall be rejected.</w:t>
      </w:r>
    </w:p>
    <w:p w14:paraId="778937E5" w14:textId="2B7C8F6E" w:rsidR="005B246E" w:rsidRPr="00106894" w:rsidRDefault="00D13CE2"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13. </w:t>
      </w:r>
      <w:r w:rsidR="005B246E" w:rsidRPr="00106894">
        <w:rPr>
          <w:rFonts w:ascii="Times New Roman" w:hAnsi="Times New Roman" w:cs="Times New Roman"/>
          <w:sz w:val="24"/>
          <w:szCs w:val="24"/>
          <w:lang w:val="en-GB"/>
        </w:rPr>
        <w:t>The applicant may have a partner(s). The number of the project Partners is not limited. The same legal entity can participate as a partner in several projects, however, as an applicant can only be in one project.</w:t>
      </w:r>
    </w:p>
    <w:p w14:paraId="524F2351" w14:textId="08326434" w:rsidR="00D13CE2" w:rsidRPr="00106894" w:rsidRDefault="00D13CE2"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bookmarkStart w:id="1" w:name="_Hlk18087901"/>
      <w:r w:rsidRPr="00106894">
        <w:rPr>
          <w:rFonts w:ascii="Times New Roman" w:hAnsi="Times New Roman" w:cs="Times New Roman"/>
          <w:sz w:val="24"/>
          <w:szCs w:val="24"/>
          <w:lang w:val="en-GB"/>
        </w:rPr>
        <w:t xml:space="preserve">14. </w:t>
      </w:r>
      <w:bookmarkEnd w:id="1"/>
      <w:r w:rsidRPr="00106894">
        <w:rPr>
          <w:rFonts w:ascii="Times New Roman" w:hAnsi="Times New Roman" w:cs="Times New Roman"/>
          <w:sz w:val="24"/>
          <w:szCs w:val="24"/>
          <w:lang w:val="en-GB"/>
        </w:rPr>
        <w:t>Participation of the Partner (-s) in the project</w:t>
      </w:r>
      <w:r w:rsidR="00ED65CF" w:rsidRPr="00106894">
        <w:rPr>
          <w:rFonts w:ascii="Times New Roman" w:hAnsi="Times New Roman" w:cs="Times New Roman"/>
          <w:sz w:val="24"/>
          <w:szCs w:val="24"/>
          <w:lang w:val="en-GB"/>
        </w:rPr>
        <w:t>, t</w:t>
      </w:r>
      <w:r w:rsidRPr="00106894">
        <w:rPr>
          <w:rFonts w:ascii="Times New Roman" w:hAnsi="Times New Roman" w:cs="Times New Roman"/>
          <w:sz w:val="24"/>
          <w:szCs w:val="24"/>
          <w:lang w:val="en-GB"/>
        </w:rPr>
        <w:t xml:space="preserve">he benefits and contribution </w:t>
      </w:r>
      <w:r w:rsidR="00ED65CF" w:rsidRPr="00106894">
        <w:rPr>
          <w:rFonts w:ascii="Times New Roman" w:hAnsi="Times New Roman" w:cs="Times New Roman"/>
          <w:sz w:val="24"/>
          <w:szCs w:val="24"/>
          <w:lang w:val="en-GB"/>
        </w:rPr>
        <w:t xml:space="preserve">to the implementation of the project objectives </w:t>
      </w:r>
      <w:r w:rsidRPr="00106894">
        <w:rPr>
          <w:rFonts w:ascii="Times New Roman" w:hAnsi="Times New Roman" w:cs="Times New Roman"/>
          <w:sz w:val="24"/>
          <w:szCs w:val="24"/>
          <w:lang w:val="en-GB"/>
        </w:rPr>
        <w:t xml:space="preserve">shall be substantiated in the project application. The Applicant shall choose as partners solely those persons </w:t>
      </w:r>
      <w:r w:rsidR="00ED65CF" w:rsidRPr="00106894">
        <w:rPr>
          <w:rFonts w:ascii="Times New Roman" w:hAnsi="Times New Roman" w:cs="Times New Roman"/>
          <w:sz w:val="24"/>
          <w:szCs w:val="24"/>
          <w:lang w:val="en-GB"/>
        </w:rPr>
        <w:t xml:space="preserve">which </w:t>
      </w:r>
      <w:r w:rsidRPr="00106894">
        <w:rPr>
          <w:rFonts w:ascii="Times New Roman" w:hAnsi="Times New Roman" w:cs="Times New Roman"/>
          <w:sz w:val="24"/>
          <w:szCs w:val="24"/>
          <w:lang w:val="en-GB"/>
        </w:rPr>
        <w:t>will make an actual contribution to the activities of the project and / or will actively use the results created in the course of the project. The Applicant shall assess the necessity of the Partner (-s) for the project and the related management difficulties.</w:t>
      </w:r>
    </w:p>
    <w:p w14:paraId="6FABA2F1" w14:textId="4B097E0A" w:rsidR="00ED65CF" w:rsidRPr="00106894" w:rsidRDefault="00024FDA"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15. 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w:t>
      </w:r>
      <w:r w:rsidR="00421D47">
        <w:rPr>
          <w:rFonts w:ascii="Times New Roman" w:hAnsi="Times New Roman" w:cs="Times New Roman"/>
          <w:sz w:val="24"/>
          <w:szCs w:val="24"/>
          <w:lang w:val="en-GB"/>
        </w:rPr>
        <w:t>, a copy of signed partnership agreement</w:t>
      </w:r>
      <w:r w:rsidRPr="00106894">
        <w:rPr>
          <w:rFonts w:ascii="Times New Roman" w:hAnsi="Times New Roman" w:cs="Times New Roman"/>
          <w:sz w:val="24"/>
          <w:szCs w:val="24"/>
          <w:lang w:val="en-GB"/>
        </w:rPr>
        <w:t xml:space="preserve"> or a letter of </w:t>
      </w:r>
      <w:r w:rsidRPr="00106894">
        <w:rPr>
          <w:rFonts w:ascii="Times New Roman" w:hAnsi="Times New Roman" w:cs="Times New Roman"/>
          <w:sz w:val="24"/>
          <w:szCs w:val="24"/>
          <w:lang w:val="en-GB"/>
        </w:rPr>
        <w:lastRenderedPageBreak/>
        <w:t>intent shall be submitted in English, if a partner from a Donor State is at least one party to the partnership agreement or the letter of intent.</w:t>
      </w:r>
    </w:p>
    <w:p w14:paraId="0277D1F2" w14:textId="3E00D6AA" w:rsidR="00710DFB" w:rsidRPr="00106894" w:rsidRDefault="00710DFB" w:rsidP="00106894">
      <w:pPr>
        <w:tabs>
          <w:tab w:val="left" w:pos="0"/>
          <w:tab w:val="left" w:pos="709"/>
          <w:tab w:val="left" w:pos="993"/>
          <w:tab w:val="left" w:pos="1134"/>
        </w:tabs>
        <w:spacing w:after="0"/>
        <w:ind w:firstLine="567"/>
        <w:jc w:val="both"/>
        <w:rPr>
          <w:rStyle w:val="Hyperlink"/>
          <w:rFonts w:ascii="Times New Roman" w:hAnsi="Times New Roman" w:cs="Times New Roman"/>
          <w:color w:val="auto"/>
          <w:sz w:val="24"/>
          <w:szCs w:val="24"/>
          <w:u w:val="none"/>
          <w:lang w:val="en-GB"/>
        </w:rPr>
      </w:pPr>
      <w:r w:rsidRPr="00106894">
        <w:rPr>
          <w:rFonts w:ascii="Times New Roman" w:hAnsi="Times New Roman" w:cs="Times New Roman"/>
          <w:sz w:val="24"/>
          <w:szCs w:val="24"/>
          <w:lang w:val="en-GB"/>
        </w:rPr>
        <w:t xml:space="preserve">The template of the partnership agreement in English is available online: </w:t>
      </w:r>
      <w:r w:rsidRPr="00106894">
        <w:rPr>
          <w:rFonts w:ascii="Times New Roman" w:hAnsi="Times New Roman" w:cs="Times New Roman"/>
          <w:sz w:val="24"/>
          <w:szCs w:val="24"/>
          <w:u w:val="single"/>
          <w:lang w:val="en-GB"/>
        </w:rPr>
        <w:fldChar w:fldCharType="begin"/>
      </w:r>
      <w:r w:rsidRPr="00106894">
        <w:rPr>
          <w:rFonts w:ascii="Times New Roman" w:hAnsi="Times New Roman" w:cs="Times New Roman"/>
          <w:sz w:val="24"/>
          <w:szCs w:val="24"/>
          <w:u w:val="single"/>
          <w:lang w:val="en-GB"/>
        </w:rPr>
        <w:instrText xml:space="preserve"> HYPERLINK "https://eeagrants.org/resources/2014-2021-bilateral-guideline-annex-6-partnership-agreement-template" </w:instrText>
      </w:r>
      <w:r w:rsidRPr="00106894">
        <w:rPr>
          <w:rFonts w:ascii="Times New Roman" w:hAnsi="Times New Roman" w:cs="Times New Roman"/>
          <w:sz w:val="24"/>
          <w:szCs w:val="24"/>
          <w:u w:val="single"/>
          <w:lang w:val="en-GB"/>
        </w:rPr>
        <w:fldChar w:fldCharType="separate"/>
      </w:r>
      <w:r w:rsidRPr="00106894">
        <w:rPr>
          <w:rStyle w:val="Hyperlink"/>
          <w:rFonts w:ascii="Times New Roman" w:hAnsi="Times New Roman" w:cs="Times New Roman"/>
          <w:color w:val="0070C0"/>
          <w:sz w:val="24"/>
          <w:szCs w:val="24"/>
          <w:lang w:val="en-GB"/>
        </w:rPr>
        <w:t xml:space="preserve">https://eeagrants.org/resources/2014-2021-bilateral-guideline-annex-6-partnership-agreement-template. </w:t>
      </w:r>
    </w:p>
    <w:p w14:paraId="768A32F7" w14:textId="4137FBB8" w:rsidR="006F4177" w:rsidRPr="00106894" w:rsidRDefault="00710DFB" w:rsidP="00106894">
      <w:pPr>
        <w:tabs>
          <w:tab w:val="left" w:pos="0"/>
          <w:tab w:val="left" w:pos="709"/>
          <w:tab w:val="left" w:pos="993"/>
          <w:tab w:val="left" w:pos="1134"/>
        </w:tabs>
        <w:spacing w:after="0"/>
        <w:ind w:firstLine="567"/>
        <w:jc w:val="both"/>
        <w:rPr>
          <w:rFonts w:ascii="Times New Roman" w:hAnsi="Times New Roman" w:cs="Times New Roman"/>
          <w:sz w:val="24"/>
          <w:szCs w:val="24"/>
          <w:lang w:val="en-GB"/>
        </w:rPr>
      </w:pPr>
      <w:r w:rsidRPr="00106894">
        <w:rPr>
          <w:rFonts w:ascii="Times New Roman" w:hAnsi="Times New Roman" w:cs="Times New Roman"/>
          <w:sz w:val="24"/>
          <w:szCs w:val="24"/>
          <w:u w:val="single"/>
          <w:lang w:val="en-GB"/>
        </w:rPr>
        <w:fldChar w:fldCharType="end"/>
      </w:r>
      <w:r w:rsidR="00F70532" w:rsidRPr="00106894">
        <w:rPr>
          <w:rFonts w:ascii="Times New Roman" w:hAnsi="Times New Roman" w:cs="Times New Roman"/>
          <w:sz w:val="24"/>
          <w:szCs w:val="24"/>
          <w:lang w:val="en-GB"/>
        </w:rPr>
        <w:t>1</w:t>
      </w:r>
      <w:r w:rsidR="006F4177" w:rsidRPr="00106894">
        <w:rPr>
          <w:rFonts w:ascii="Times New Roman" w:hAnsi="Times New Roman" w:cs="Times New Roman"/>
          <w:sz w:val="24"/>
          <w:szCs w:val="24"/>
          <w:lang w:val="en-GB"/>
        </w:rPr>
        <w:t>7. Where a draft partnership agreement or a signed partnership agreement is submitted along with the application, it shall include the following conditions:</w:t>
      </w:r>
    </w:p>
    <w:p w14:paraId="3FB286EF" w14:textId="51C047D7"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Purpose of the agreement, distribution of tasks between the Applicant and the Partner</w:t>
      </w:r>
      <w:r w:rsidR="005E7D3B" w:rsidRPr="00106894">
        <w:rPr>
          <w:rFonts w:ascii="Times New Roman" w:hAnsi="Times New Roman" w:cs="Times New Roman"/>
          <w:sz w:val="24"/>
          <w:szCs w:val="24"/>
          <w:lang w:val="en-GB"/>
        </w:rPr>
        <w:t>(</w:t>
      </w:r>
      <w:r w:rsidRPr="00106894">
        <w:rPr>
          <w:rFonts w:ascii="Times New Roman" w:hAnsi="Times New Roman" w:cs="Times New Roman"/>
          <w:sz w:val="24"/>
          <w:szCs w:val="24"/>
          <w:lang w:val="en-GB"/>
        </w:rPr>
        <w:t>s) in the implementation of the project;</w:t>
      </w:r>
    </w:p>
    <w:p w14:paraId="431C56DE" w14:textId="77777777" w:rsidR="006F4177" w:rsidRPr="00106894" w:rsidRDefault="006F4177" w:rsidP="00106894">
      <w:pPr>
        <w:pStyle w:val="ListParagraph"/>
        <w:numPr>
          <w:ilvl w:val="1"/>
          <w:numId w:val="14"/>
        </w:numPr>
        <w:tabs>
          <w:tab w:val="left" w:pos="0"/>
          <w:tab w:val="left" w:pos="709"/>
          <w:tab w:val="left" w:pos="851"/>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Detailed budget of the project, distribution of costs between the Applicant and the Partner (-s), procedure of covering costs of the Partner (-s), including provisions on the applicable exchange rate if the costs are incurred in a currency other than the euro (in any case, exchange losses are ineligible costs for the project);</w:t>
      </w:r>
    </w:p>
    <w:p w14:paraId="5CD4F25E" w14:textId="77777777"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Provisions on the method of calculation of indirect costs (possible methods are set out in clause 276 of the MAFR) and the maximum possible sum of indirect costs;</w:t>
      </w:r>
    </w:p>
    <w:p w14:paraId="325B2FE4" w14:textId="3E245ADE" w:rsidR="006F4177" w:rsidRPr="00106894" w:rsidRDefault="006F4177" w:rsidP="00106894">
      <w:pPr>
        <w:pStyle w:val="ListParagraph"/>
        <w:numPr>
          <w:ilvl w:val="1"/>
          <w:numId w:val="14"/>
        </w:numPr>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3485A336" w14:textId="2AC2834C" w:rsidR="006F4177" w:rsidRPr="00106894" w:rsidRDefault="006F4177"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Copies of documents substantiating costs and proof of their payment, or </w:t>
      </w:r>
    </w:p>
    <w:p w14:paraId="4B383E2E" w14:textId="77777777" w:rsidR="00430615" w:rsidRPr="00106894" w:rsidRDefault="006F4177"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report signed by the said competent official regarding the eligibility of the costs for financing (according to the form prepared by the Process Working Group </w:t>
      </w:r>
      <w:r w:rsidR="007A7422" w:rsidRPr="00106894">
        <w:rPr>
          <w:rFonts w:ascii="Times New Roman" w:hAnsi="Times New Roman" w:cs="Times New Roman"/>
          <w:sz w:val="24"/>
          <w:szCs w:val="24"/>
          <w:lang w:val="en-GB"/>
        </w:rPr>
        <w:t xml:space="preserve">which is published on </w:t>
      </w:r>
      <w:hyperlink r:id="rId10" w:history="1">
        <w:r w:rsidR="007A7422" w:rsidRPr="00106894">
          <w:rPr>
            <w:rStyle w:val="Hyperlink"/>
            <w:rFonts w:ascii="Times New Roman" w:hAnsi="Times New Roman" w:cs="Times New Roman"/>
            <w:sz w:val="24"/>
            <w:szCs w:val="24"/>
            <w:lang w:val="en-GB"/>
          </w:rPr>
          <w:t>https://www.cpva.lt/data/public/uploads/2019/07/template_dp_certification-of-costs-claimed-by-donor-partner.docx</w:t>
        </w:r>
      </w:hyperlink>
      <w:r w:rsidR="007A7422" w:rsidRPr="00106894">
        <w:rPr>
          <w:rFonts w:ascii="Times New Roman" w:hAnsi="Times New Roman" w:cs="Times New Roman"/>
          <w:sz w:val="24"/>
          <w:szCs w:val="24"/>
          <w:lang w:val="en-GB"/>
        </w:rPr>
        <w:t xml:space="preserve"> </w:t>
      </w:r>
      <w:r w:rsidRPr="00106894">
        <w:rPr>
          <w:rFonts w:ascii="Times New Roman" w:hAnsi="Times New Roman" w:cs="Times New Roman"/>
          <w:sz w:val="24"/>
          <w:szCs w:val="24"/>
          <w:lang w:val="en-GB"/>
        </w:rPr>
        <w:t>confirming that the costs indicated in the conclusion on the eligibility of the costs for financing have been incurred in accordance with the Regulation, national legislation and accounting practices in the partner country;</w:t>
      </w:r>
    </w:p>
    <w:p w14:paraId="4A9BBA79" w14:textId="515906EB" w:rsidR="00043621" w:rsidRPr="00106894" w:rsidRDefault="00430615" w:rsidP="00106894">
      <w:pPr>
        <w:pStyle w:val="ListParagraph"/>
        <w:numPr>
          <w:ilvl w:val="2"/>
          <w:numId w:val="14"/>
        </w:numPr>
        <w:tabs>
          <w:tab w:val="left" w:pos="0"/>
          <w:tab w:val="left" w:pos="709"/>
          <w:tab w:val="left" w:pos="993"/>
          <w:tab w:val="left" w:pos="1134"/>
          <w:tab w:val="left" w:pos="1276"/>
        </w:tabs>
        <w:spacing w:after="0"/>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partner (in the form prepared by the Process Working Group</w:t>
      </w:r>
      <w:r w:rsidR="00043621" w:rsidRPr="00106894">
        <w:rPr>
          <w:rFonts w:ascii="Times New Roman" w:hAnsi="Times New Roman" w:cs="Times New Roman"/>
          <w:sz w:val="24"/>
          <w:szCs w:val="24"/>
          <w:lang w:val="en-GB"/>
        </w:rPr>
        <w:t xml:space="preserve"> which is published on </w:t>
      </w:r>
    </w:p>
    <w:p w14:paraId="2004F40D" w14:textId="76B824DF" w:rsidR="00CA4107" w:rsidRPr="00106894" w:rsidRDefault="000E7C80" w:rsidP="00106894">
      <w:pPr>
        <w:pStyle w:val="ListParagraph"/>
        <w:tabs>
          <w:tab w:val="left" w:pos="0"/>
          <w:tab w:val="left" w:pos="709"/>
          <w:tab w:val="left" w:pos="993"/>
          <w:tab w:val="left" w:pos="1134"/>
        </w:tabs>
        <w:spacing w:after="0"/>
        <w:ind w:left="0" w:firstLine="567"/>
        <w:jc w:val="both"/>
        <w:rPr>
          <w:rFonts w:ascii="Times New Roman" w:hAnsi="Times New Roman" w:cs="Times New Roman"/>
          <w:sz w:val="24"/>
          <w:szCs w:val="24"/>
          <w:lang w:val="en-GB"/>
        </w:rPr>
      </w:pPr>
      <w:hyperlink r:id="rId11" w:history="1">
        <w:r w:rsidR="00043621" w:rsidRPr="00106894">
          <w:rPr>
            <w:rStyle w:val="Hyperlink"/>
            <w:rFonts w:ascii="Times New Roman" w:hAnsi="Times New Roman" w:cs="Times New Roman"/>
            <w:sz w:val="24"/>
            <w:szCs w:val="24"/>
            <w:lang w:val="en-GB"/>
          </w:rPr>
          <w:t>https://www.cpva.lt/data/public/uploads/2019/07/template_dp_declaration-of-expenditure-claimed-by-donor-partner.docx</w:t>
        </w:r>
      </w:hyperlink>
      <w:r w:rsidR="00043621" w:rsidRPr="00106894">
        <w:rPr>
          <w:rFonts w:ascii="Times New Roman" w:hAnsi="Times New Roman" w:cs="Times New Roman"/>
          <w:sz w:val="24"/>
          <w:szCs w:val="24"/>
          <w:lang w:val="en-GB"/>
        </w:rPr>
        <w:t xml:space="preserve">), </w:t>
      </w:r>
      <w:r w:rsidR="00430615" w:rsidRPr="00106894">
        <w:rPr>
          <w:rFonts w:ascii="Times New Roman" w:hAnsi="Times New Roman" w:cs="Times New Roman"/>
          <w:sz w:val="24"/>
          <w:szCs w:val="24"/>
          <w:lang w:val="en-GB"/>
        </w:rPr>
        <w:t>confirming that the costs specified in the declaration of costs have been incurred in accordance with the Regulation, national legislation and accounting practices in the project partner’s country. Such a declaration of project partner’s costs shall additionally be signed by a Project Promoter’s representative, certifying that the Project Partner has completed the activities, provided the services, and the Project Promoter is satisfied with the result, while the expenses incurred are in line with the project budget. If the total costs incurred by the Project Partner from a Donor State throughout the entire period of implementation of the project exceed EUR 10 000 (except for expenses, which have been paid in a simplified procedure, at a unit cost and / or a flat rate), a report regarding the eligibility of costs (in the form prepared by the Process Working Group</w:t>
      </w:r>
      <w:r w:rsidR="00CA4107" w:rsidRPr="00106894">
        <w:rPr>
          <w:rFonts w:ascii="Times New Roman" w:hAnsi="Times New Roman" w:cs="Times New Roman"/>
          <w:sz w:val="24"/>
          <w:szCs w:val="24"/>
          <w:lang w:val="en-GB"/>
        </w:rPr>
        <w:t xml:space="preserve"> which is published on </w:t>
      </w:r>
    </w:p>
    <w:p w14:paraId="51275AF7" w14:textId="4FE9B440" w:rsidR="005E7D3B" w:rsidRPr="00106894" w:rsidRDefault="000E7C80" w:rsidP="00106894">
      <w:pPr>
        <w:pStyle w:val="ListParagraph"/>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hyperlink r:id="rId12" w:history="1">
        <w:r w:rsidR="00CA4107" w:rsidRPr="00106894">
          <w:rPr>
            <w:rStyle w:val="Hyperlink"/>
            <w:rFonts w:ascii="Times New Roman" w:hAnsi="Times New Roman" w:cs="Times New Roman"/>
            <w:color w:val="4472C4" w:themeColor="accent1"/>
            <w:sz w:val="24"/>
            <w:szCs w:val="24"/>
            <w:lang w:val="en-GB"/>
          </w:rPr>
          <w:t>https://www.cpva.lt/data/public/uploads/2019/07/template_dp_certification-of-costs-claimed-by-donor-partner.docx</w:t>
        </w:r>
      </w:hyperlink>
      <w:r w:rsidR="00430615" w:rsidRPr="00106894">
        <w:rPr>
          <w:rFonts w:ascii="Times New Roman" w:hAnsi="Times New Roman" w:cs="Times New Roman"/>
          <w:sz w:val="24"/>
          <w:szCs w:val="24"/>
          <w:lang w:val="en-GB"/>
        </w:rPr>
        <w:t xml:space="preserve"> signed by an independent auditor shall be submitted along with the final payment </w:t>
      </w:r>
      <w:r w:rsidR="00430615" w:rsidRPr="00106894">
        <w:rPr>
          <w:rFonts w:ascii="Times New Roman" w:hAnsi="Times New Roman" w:cs="Times New Roman"/>
          <w:sz w:val="24"/>
          <w:szCs w:val="24"/>
          <w:lang w:val="en-GB"/>
        </w:rPr>
        <w:lastRenderedPageBreak/>
        <w:t>request for all costs incurred by the Project Partner. In such a case, a draft partnership agreement (a signed partnership agreement) shall also indicate which party of the partnership agreement (Project Promoter or Donor Project Partner) shall be the buyer of and the payer for the services of audit of costs of a Donor 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p>
    <w:p w14:paraId="187C03B9" w14:textId="77777777" w:rsidR="007974B4" w:rsidRPr="00106894" w:rsidRDefault="005E7D3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p>
    <w:p w14:paraId="4C1C30DF" w14:textId="77777777"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that the Project Partner shall store documents of substantiation of costs and evidence of their payment in observance of provisions of applicable legislation, but not less than specified in the project contract;</w:t>
      </w:r>
    </w:p>
    <w:p w14:paraId="50EF8F26" w14:textId="6A92CA6C"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The provision that the Project Partner shall create conditions for inspecting and auditing project and project-related documents for institutions entitled to do that in the implementation of the </w:t>
      </w:r>
      <w:r w:rsidR="00CC7FC6"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w:t>
      </w:r>
    </w:p>
    <w:p w14:paraId="0A2F5C05" w14:textId="77777777" w:rsidR="007974B4"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regarding dispute resolution.</w:t>
      </w:r>
    </w:p>
    <w:p w14:paraId="51805AC4" w14:textId="77777777" w:rsidR="00C24E1B" w:rsidRPr="00106894" w:rsidRDefault="007974B4"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provision stating that the project budget, breakdown of costs between the applicant and the partner (s), the method of calculation of indirect costs and their maximum amount, set in the partnership agreement or its draft, prepared before submitting a project application, may vary according to the amount of eligible costs determined during the evaluation of the application.  In case the project budget changes, the partnership agreement will have to be modified</w:t>
      </w:r>
      <w:r w:rsidR="00C24E1B" w:rsidRPr="00106894">
        <w:rPr>
          <w:rFonts w:ascii="Times New Roman" w:hAnsi="Times New Roman" w:cs="Times New Roman"/>
          <w:sz w:val="24"/>
          <w:szCs w:val="24"/>
          <w:lang w:val="en-GB"/>
        </w:rPr>
        <w:t xml:space="preserve">. </w:t>
      </w:r>
    </w:p>
    <w:p w14:paraId="3DF6CAE0" w14:textId="77777777" w:rsidR="00C24E1B" w:rsidRPr="00106894" w:rsidRDefault="00C24E1B" w:rsidP="00106894">
      <w:pPr>
        <w:pStyle w:val="ListParagraph"/>
        <w:numPr>
          <w:ilvl w:val="0"/>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Where a letter of intent to sign a partnership agreement is submitted along with the application, it shall include at least the following conditions:</w:t>
      </w:r>
    </w:p>
    <w:p w14:paraId="55B1FF69" w14:textId="42D4D256" w:rsidR="00C24E1B" w:rsidRPr="00106894" w:rsidRDefault="00C24E1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The purpose of the letter of intent, distribution of tasks between the Applicant and the Partner (-s) in the implementation of the project;</w:t>
      </w:r>
    </w:p>
    <w:p w14:paraId="76EF9390" w14:textId="0A07847F" w:rsidR="00E42AC9" w:rsidRPr="00106894" w:rsidRDefault="00C24E1B" w:rsidP="00106894">
      <w:pPr>
        <w:pStyle w:val="ListParagraph"/>
        <w:numPr>
          <w:ilvl w:val="1"/>
          <w:numId w:val="14"/>
        </w:numPr>
        <w:tabs>
          <w:tab w:val="left" w:pos="0"/>
          <w:tab w:val="left" w:pos="709"/>
          <w:tab w:val="left" w:pos="993"/>
          <w:tab w:val="left" w:pos="1134"/>
        </w:tabs>
        <w:spacing w:after="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Detailed project budget, distribution of costs between the Applicant and the Partner (-s).</w:t>
      </w:r>
    </w:p>
    <w:p w14:paraId="3F06A877" w14:textId="7882E2AA" w:rsidR="002C16C3" w:rsidRPr="00106894" w:rsidRDefault="00E42AC9" w:rsidP="00106894">
      <w:pPr>
        <w:tabs>
          <w:tab w:val="left" w:pos="0"/>
          <w:tab w:val="left" w:pos="709"/>
          <w:tab w:val="left" w:pos="993"/>
          <w:tab w:val="left" w:pos="1134"/>
        </w:tabs>
        <w:spacing w:after="0" w:line="240"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19. Where a draft partnership agreement or a letter of intent is submitted along with the application, a copy of a signed partnership agreement shall be submitted to the </w:t>
      </w:r>
      <w:r w:rsidR="00CC7FC6" w:rsidRPr="00106894">
        <w:rPr>
          <w:rFonts w:ascii="Times New Roman" w:hAnsi="Times New Roman" w:cs="Times New Roman"/>
          <w:sz w:val="24"/>
          <w:szCs w:val="24"/>
          <w:lang w:val="en-GB"/>
        </w:rPr>
        <w:t>P</w:t>
      </w:r>
      <w:r w:rsidRPr="00106894">
        <w:rPr>
          <w:rFonts w:ascii="Times New Roman" w:hAnsi="Times New Roman" w:cs="Times New Roman"/>
          <w:sz w:val="24"/>
          <w:szCs w:val="24"/>
          <w:lang w:val="en-GB"/>
        </w:rPr>
        <w:t>rogramme operator before signing a project contract.</w:t>
      </w:r>
    </w:p>
    <w:p w14:paraId="733159DB" w14:textId="503E8606" w:rsidR="002C16C3" w:rsidRPr="00106894" w:rsidRDefault="002C16C3" w:rsidP="00106894">
      <w:pPr>
        <w:tabs>
          <w:tab w:val="left" w:pos="0"/>
          <w:tab w:val="left" w:pos="142"/>
          <w:tab w:val="left" w:pos="709"/>
          <w:tab w:val="left" w:pos="993"/>
          <w:tab w:val="left" w:pos="1134"/>
        </w:tabs>
        <w:spacing w:after="0" w:line="240"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20. Although the Partner(s) participate in the implementation of the project and use its results or products, however the Applicant shall be responsible for proper implementation, coordination of the project and the use of funds. After a project </w:t>
      </w:r>
      <w:r w:rsidR="001B0FC6" w:rsidRPr="00106894">
        <w:rPr>
          <w:rFonts w:ascii="Times New Roman" w:hAnsi="Times New Roman" w:cs="Times New Roman"/>
          <w:sz w:val="24"/>
          <w:szCs w:val="24"/>
          <w:lang w:val="en-GB"/>
        </w:rPr>
        <w:t>contract</w:t>
      </w:r>
      <w:r w:rsidRPr="00106894">
        <w:rPr>
          <w:rFonts w:ascii="Times New Roman" w:hAnsi="Times New Roman" w:cs="Times New Roman"/>
          <w:sz w:val="24"/>
          <w:szCs w:val="24"/>
          <w:lang w:val="en-GB"/>
        </w:rPr>
        <w:t xml:space="preserve"> is concluded, the Applicant shall become the Project Promoter. The mechanism funds and co-financing funds allocated for the implementation of the entire project shall be paid directly to the Project Promote, who shall then settle with the Partner (-s).</w:t>
      </w:r>
    </w:p>
    <w:p w14:paraId="13CE5D3D" w14:textId="77777777" w:rsidR="001B0FC6" w:rsidRPr="00106894" w:rsidRDefault="001B0FC6" w:rsidP="00106894">
      <w:pPr>
        <w:tabs>
          <w:tab w:val="left" w:pos="0"/>
          <w:tab w:val="left" w:pos="142"/>
          <w:tab w:val="left" w:pos="709"/>
          <w:tab w:val="left" w:pos="993"/>
        </w:tabs>
        <w:spacing w:after="0" w:line="240" w:lineRule="auto"/>
        <w:ind w:firstLine="567"/>
        <w:jc w:val="both"/>
        <w:rPr>
          <w:rFonts w:ascii="Times New Roman" w:hAnsi="Times New Roman" w:cs="Times New Roman"/>
          <w:sz w:val="24"/>
          <w:szCs w:val="24"/>
          <w:lang w:val="en-GB"/>
        </w:rPr>
      </w:pPr>
    </w:p>
    <w:p w14:paraId="589A8B64" w14:textId="6E9BD2C3" w:rsidR="00D85AE8" w:rsidRPr="00106894" w:rsidRDefault="00911E58" w:rsidP="00106894">
      <w:pPr>
        <w:pStyle w:val="ListParagraph"/>
        <w:tabs>
          <w:tab w:val="left" w:pos="0"/>
          <w:tab w:val="left" w:pos="142"/>
          <w:tab w:val="left" w:pos="993"/>
        </w:tabs>
        <w:spacing w:after="120" w:line="240" w:lineRule="auto"/>
        <w:ind w:left="0"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III. </w:t>
      </w:r>
      <w:r w:rsidR="00D85AE8" w:rsidRPr="00106894">
        <w:rPr>
          <w:rFonts w:ascii="Times New Roman" w:hAnsi="Times New Roman" w:cs="Times New Roman"/>
          <w:b/>
          <w:bCs/>
          <w:caps/>
          <w:sz w:val="24"/>
          <w:szCs w:val="24"/>
          <w:lang w:val="en-GB"/>
        </w:rPr>
        <w:t>Eligible projects</w:t>
      </w:r>
    </w:p>
    <w:p w14:paraId="398591FE" w14:textId="76F3BAA5" w:rsidR="00F6207F" w:rsidRPr="00106894" w:rsidRDefault="00D85AE8" w:rsidP="00106894">
      <w:pPr>
        <w:tabs>
          <w:tab w:val="left" w:pos="0"/>
          <w:tab w:val="left" w:pos="142"/>
          <w:tab w:val="left" w:pos="993"/>
        </w:tabs>
        <w:spacing w:after="0" w:line="257" w:lineRule="auto"/>
        <w:ind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21. Financing will be allocated for projects that contribute to the pursuit of objectives of the Programme and </w:t>
      </w:r>
      <w:r w:rsidR="00F6207F" w:rsidRPr="00106894">
        <w:rPr>
          <w:rFonts w:ascii="Times New Roman" w:hAnsi="Times New Roman" w:cs="Times New Roman"/>
          <w:sz w:val="24"/>
          <w:szCs w:val="24"/>
          <w:lang w:val="en-GB"/>
        </w:rPr>
        <w:t xml:space="preserve">of </w:t>
      </w:r>
      <w:r w:rsidRPr="00106894">
        <w:rPr>
          <w:rFonts w:ascii="Times New Roman" w:hAnsi="Times New Roman" w:cs="Times New Roman"/>
          <w:sz w:val="24"/>
          <w:szCs w:val="24"/>
          <w:lang w:val="en-GB"/>
        </w:rPr>
        <w:t>this open call, and that meet this special project eligibility criteria (</w:t>
      </w:r>
      <w:r w:rsidR="00F6207F" w:rsidRPr="00106894">
        <w:rPr>
          <w:rFonts w:ascii="Times New Roman" w:hAnsi="Times New Roman" w:cs="Times New Roman"/>
          <w:sz w:val="24"/>
          <w:szCs w:val="24"/>
          <w:lang w:val="en-GB"/>
        </w:rPr>
        <w:t xml:space="preserve">that are mandatory for all projects): </w:t>
      </w:r>
    </w:p>
    <w:p w14:paraId="0C536F15" w14:textId="31EB4862" w:rsidR="00590EA2" w:rsidRPr="007E61B2" w:rsidRDefault="007E61B2" w:rsidP="007B6391">
      <w:pPr>
        <w:pStyle w:val="ListParagraph"/>
        <w:numPr>
          <w:ilvl w:val="1"/>
          <w:numId w:val="36"/>
        </w:numPr>
        <w:tabs>
          <w:tab w:val="left" w:pos="1134"/>
          <w:tab w:val="left" w:pos="1418"/>
        </w:tabs>
        <w:spacing w:after="0" w:line="259" w:lineRule="auto"/>
        <w:ind w:left="0" w:firstLine="709"/>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candidates for the training program for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s must have at least the Bachelor's degree (or equivalent) in the fields of health or social sciences that are referred to in point 2.1.1 of Annex 1 to the Guidelines and meet the other criteria for candidates set out in Section 8 of Annex 1 to the Guidelines;</w:t>
      </w:r>
    </w:p>
    <w:p w14:paraId="23EED00D" w14:textId="2946AE7E" w:rsidR="007E61B2" w:rsidRPr="00913D47" w:rsidRDefault="007E61B2" w:rsidP="007B6391">
      <w:pPr>
        <w:pStyle w:val="ListParagraph"/>
        <w:numPr>
          <w:ilvl w:val="1"/>
          <w:numId w:val="36"/>
        </w:numPr>
        <w:tabs>
          <w:tab w:val="left" w:pos="1134"/>
          <w:tab w:val="left" w:pos="1418"/>
        </w:tabs>
        <w:spacing w:after="0" w:line="259" w:lineRule="auto"/>
        <w:ind w:left="0" w:firstLine="709"/>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lastRenderedPageBreak/>
        <w:t xml:space="preserve">the list of candidates to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s must include the number of professionals who will provide the services and at least one additional candidate; </w:t>
      </w:r>
    </w:p>
    <w:p w14:paraId="04082B7E" w14:textId="6A2DFD16" w:rsidR="007E61B2" w:rsidRDefault="007E61B2" w:rsidP="007B6391">
      <w:pPr>
        <w:pStyle w:val="ListParagraph"/>
        <w:numPr>
          <w:ilvl w:val="1"/>
          <w:numId w:val="36"/>
        </w:numPr>
        <w:tabs>
          <w:tab w:val="left" w:pos="426"/>
          <w:tab w:val="left" w:pos="710"/>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recruitment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(s) who has/have completed the training for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to work at least 0.5 full-time; </w:t>
      </w:r>
    </w:p>
    <w:p w14:paraId="6396EBB4" w14:textId="6F521AA9" w:rsidR="00BA584C" w:rsidRDefault="007E61B2" w:rsidP="007B6391">
      <w:pPr>
        <w:pStyle w:val="ListParagraph"/>
        <w:numPr>
          <w:ilvl w:val="1"/>
          <w:numId w:val="36"/>
        </w:numPr>
        <w:tabs>
          <w:tab w:val="left" w:pos="426"/>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establishment of a place for the provision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 which ensures the privacy and confidentiality of the services provided to an individual, in a place that is convenient and easily accessible to the service recipients; </w:t>
      </w:r>
    </w:p>
    <w:p w14:paraId="040877C5" w14:textId="13EA91C9" w:rsidR="007E61B2" w:rsidRPr="007E61B2" w:rsidRDefault="007E61B2" w:rsidP="007B6391">
      <w:pPr>
        <w:pStyle w:val="ListParagraph"/>
        <w:numPr>
          <w:ilvl w:val="1"/>
          <w:numId w:val="36"/>
        </w:numPr>
        <w:tabs>
          <w:tab w:val="left" w:pos="426"/>
          <w:tab w:val="left" w:pos="1134"/>
          <w:tab w:val="left" w:pos="1418"/>
          <w:tab w:val="left" w:pos="1701"/>
        </w:tabs>
        <w:spacing w:after="0" w:line="259" w:lineRule="auto"/>
        <w:ind w:left="0" w:firstLine="709"/>
        <w:contextualSpacing w:val="0"/>
        <w:jc w:val="both"/>
        <w:rPr>
          <w:rFonts w:ascii="Times New Roman" w:hAnsi="Times New Roman" w:cs="Times New Roman"/>
          <w:sz w:val="24"/>
          <w:szCs w:val="24"/>
          <w:lang w:val="en-GB"/>
        </w:rPr>
      </w:pPr>
      <w:proofErr w:type="gramStart"/>
      <w:r w:rsidRPr="00913D47">
        <w:rPr>
          <w:rFonts w:ascii="Times New Roman" w:hAnsi="Times New Roman" w:cs="Times New Roman"/>
          <w:sz w:val="24"/>
          <w:szCs w:val="24"/>
          <w:lang w:val="en-GB"/>
        </w:rPr>
        <w:t>provision</w:t>
      </w:r>
      <w:proofErr w:type="gramEnd"/>
      <w:r w:rsidRPr="00913D47">
        <w:rPr>
          <w:rFonts w:ascii="Times New Roman" w:hAnsi="Times New Roman" w:cs="Times New Roman"/>
          <w:sz w:val="24"/>
          <w:szCs w:val="24"/>
          <w:lang w:val="en-GB"/>
        </w:rPr>
        <w:t xml:space="preserve"> of free services of a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to the service recipient.</w:t>
      </w:r>
    </w:p>
    <w:p w14:paraId="128184E3" w14:textId="5E381FEA" w:rsidR="00B81CB1" w:rsidRPr="00106894" w:rsidRDefault="00B81CB1" w:rsidP="00106894">
      <w:pPr>
        <w:tabs>
          <w:tab w:val="left" w:pos="0"/>
          <w:tab w:val="left" w:pos="142"/>
          <w:tab w:val="left" w:pos="993"/>
        </w:tabs>
        <w:spacing w:after="0" w:line="257" w:lineRule="auto"/>
        <w:ind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22</w:t>
      </w:r>
      <w:r w:rsidR="002C73B6" w:rsidRPr="00106894">
        <w:rPr>
          <w:rFonts w:ascii="Times New Roman" w:hAnsi="Times New Roman" w:cs="Times New Roman"/>
          <w:sz w:val="24"/>
          <w:szCs w:val="24"/>
          <w:lang w:val="en-GB"/>
        </w:rPr>
        <w:t xml:space="preserve">. In implementing projects, Applicants must ensure </w:t>
      </w:r>
      <w:r w:rsidR="00FC3DC6">
        <w:rPr>
          <w:rFonts w:ascii="Times New Roman" w:hAnsi="Times New Roman" w:cs="Times New Roman"/>
          <w:sz w:val="24"/>
          <w:szCs w:val="24"/>
          <w:lang w:val="en-GB"/>
        </w:rPr>
        <w:t xml:space="preserve">that the projects </w:t>
      </w:r>
      <w:r w:rsidR="00FC3DC6" w:rsidRPr="006663E2">
        <w:rPr>
          <w:rFonts w:ascii="Times New Roman" w:hAnsi="Times New Roman" w:cs="Times New Roman"/>
          <w:sz w:val="24"/>
          <w:szCs w:val="24"/>
          <w:lang w:val="en-GB"/>
        </w:rPr>
        <w:t>contribut</w:t>
      </w:r>
      <w:r w:rsidR="00FC3DC6">
        <w:rPr>
          <w:rFonts w:ascii="Times New Roman" w:hAnsi="Times New Roman" w:cs="Times New Roman"/>
          <w:sz w:val="24"/>
          <w:szCs w:val="24"/>
          <w:lang w:val="en-GB"/>
        </w:rPr>
        <w:t>e</w:t>
      </w:r>
      <w:r w:rsidR="00FC3DC6" w:rsidRPr="006663E2">
        <w:rPr>
          <w:rFonts w:ascii="Times New Roman" w:hAnsi="Times New Roman" w:cs="Times New Roman"/>
          <w:sz w:val="24"/>
          <w:szCs w:val="24"/>
          <w:lang w:val="en-GB"/>
        </w:rPr>
        <w:t xml:space="preserve"> to the achievement of the following </w:t>
      </w:r>
      <w:r w:rsidR="00FC3DC6">
        <w:rPr>
          <w:rFonts w:ascii="Times New Roman" w:hAnsi="Times New Roman" w:cs="Times New Roman"/>
          <w:sz w:val="24"/>
          <w:szCs w:val="24"/>
          <w:lang w:val="en-GB"/>
        </w:rPr>
        <w:t xml:space="preserve">mandatory outcome and output </w:t>
      </w:r>
      <w:r w:rsidR="00FC3DC6" w:rsidRPr="006663E2">
        <w:rPr>
          <w:rFonts w:ascii="Times New Roman" w:hAnsi="Times New Roman" w:cs="Times New Roman"/>
          <w:sz w:val="24"/>
          <w:szCs w:val="24"/>
          <w:lang w:val="en-GB"/>
        </w:rPr>
        <w:t>indicators:</w:t>
      </w:r>
    </w:p>
    <w:p w14:paraId="278675B3" w14:textId="77777777" w:rsidR="00B81CB1" w:rsidRPr="00106894" w:rsidRDefault="00B81CB1" w:rsidP="00106894">
      <w:pPr>
        <w:pStyle w:val="ListParagraph"/>
        <w:tabs>
          <w:tab w:val="left" w:pos="0"/>
          <w:tab w:val="left" w:pos="142"/>
          <w:tab w:val="left" w:pos="993"/>
        </w:tabs>
        <w:spacing w:after="0" w:line="240" w:lineRule="auto"/>
        <w:ind w:left="0" w:firstLine="567"/>
        <w:jc w:val="both"/>
        <w:rPr>
          <w:rFonts w:ascii="Times New Roman" w:hAnsi="Times New Roman" w:cs="Times New Roman"/>
          <w:sz w:val="24"/>
          <w:szCs w:val="24"/>
          <w:lang w:val="en-GB"/>
        </w:rPr>
      </w:pPr>
    </w:p>
    <w:tbl>
      <w:tblPr>
        <w:tblStyle w:val="TableGrid"/>
        <w:tblW w:w="0" w:type="auto"/>
        <w:tblInd w:w="-5" w:type="dxa"/>
        <w:tblLook w:val="04A0" w:firstRow="1" w:lastRow="0" w:firstColumn="1" w:lastColumn="0" w:noHBand="0" w:noVBand="1"/>
      </w:tblPr>
      <w:tblGrid>
        <w:gridCol w:w="9923"/>
      </w:tblGrid>
      <w:tr w:rsidR="009370EF" w:rsidRPr="00106894" w14:paraId="5B53E22E" w14:textId="77777777" w:rsidTr="00862F32">
        <w:tc>
          <w:tcPr>
            <w:tcW w:w="9923" w:type="dxa"/>
          </w:tcPr>
          <w:p w14:paraId="3ADA1491" w14:textId="76A30F77" w:rsidR="009370EF" w:rsidRPr="00106894" w:rsidRDefault="009370EF" w:rsidP="00A678BF">
            <w:pPr>
              <w:tabs>
                <w:tab w:val="left" w:pos="0"/>
                <w:tab w:val="left" w:pos="142"/>
                <w:tab w:val="left" w:pos="993"/>
              </w:tabs>
              <w:spacing w:line="276" w:lineRule="auto"/>
              <w:ind w:firstLine="32"/>
              <w:jc w:val="both"/>
              <w:rPr>
                <w:rFonts w:ascii="Times New Roman" w:hAnsi="Times New Roman" w:cs="Times New Roman"/>
                <w:b/>
                <w:color w:val="70AD47" w:themeColor="accent6"/>
                <w:sz w:val="24"/>
                <w:szCs w:val="24"/>
                <w:lang w:val="en-GB"/>
              </w:rPr>
            </w:pPr>
            <w:r w:rsidRPr="00106894">
              <w:rPr>
                <w:rFonts w:ascii="Times New Roman" w:hAnsi="Times New Roman" w:cs="Times New Roman"/>
                <w:b/>
                <w:sz w:val="24"/>
                <w:szCs w:val="24"/>
                <w:lang w:val="en-GB"/>
              </w:rPr>
              <w:t xml:space="preserve">Outcome </w:t>
            </w:r>
            <w:r w:rsidRPr="003A021B">
              <w:rPr>
                <w:rFonts w:ascii="Times New Roman" w:hAnsi="Times New Roman" w:cs="Times New Roman"/>
                <w:b/>
                <w:sz w:val="24"/>
                <w:szCs w:val="24"/>
                <w:lang w:val="en-GB"/>
              </w:rPr>
              <w:t>Indicator</w:t>
            </w:r>
            <w:r w:rsidR="00A678BF" w:rsidRPr="003A021B">
              <w:rPr>
                <w:rStyle w:val="FootnoteReference"/>
                <w:rFonts w:ascii="Times New Roman" w:hAnsi="Times New Roman" w:cs="Times New Roman"/>
                <w:b/>
                <w:sz w:val="24"/>
                <w:szCs w:val="24"/>
                <w:lang w:val="en-GB"/>
              </w:rPr>
              <w:footnoteReference w:id="1"/>
            </w:r>
          </w:p>
        </w:tc>
      </w:tr>
      <w:tr w:rsidR="009370EF" w:rsidRPr="00106894" w14:paraId="217A5C6A" w14:textId="77777777" w:rsidTr="00862F32">
        <w:tc>
          <w:tcPr>
            <w:tcW w:w="9923" w:type="dxa"/>
          </w:tcPr>
          <w:p w14:paraId="3C18E0F1" w14:textId="19729ECB" w:rsidR="009370EF" w:rsidRPr="00106894" w:rsidRDefault="002C73B6" w:rsidP="007E61B2">
            <w:pPr>
              <w:pStyle w:val="ListParagraph"/>
              <w:numPr>
                <w:ilvl w:val="1"/>
                <w:numId w:val="16"/>
              </w:numPr>
              <w:tabs>
                <w:tab w:val="left" w:pos="0"/>
                <w:tab w:val="left" w:pos="142"/>
                <w:tab w:val="left" w:pos="517"/>
                <w:tab w:val="left" w:pos="993"/>
              </w:tabs>
              <w:spacing w:line="276" w:lineRule="auto"/>
              <w:ind w:left="0" w:firstLine="32"/>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 Number of </w:t>
            </w:r>
            <w:r w:rsidR="007E61B2">
              <w:rPr>
                <w:rFonts w:ascii="Times New Roman" w:hAnsi="Times New Roman" w:cs="Times New Roman"/>
                <w:sz w:val="24"/>
                <w:szCs w:val="24"/>
                <w:lang w:val="en-GB"/>
              </w:rPr>
              <w:t>beneficiaries of services provided</w:t>
            </w:r>
            <w:r w:rsidRPr="00106894">
              <w:rPr>
                <w:rFonts w:ascii="Times New Roman" w:hAnsi="Times New Roman" w:cs="Times New Roman"/>
                <w:sz w:val="24"/>
                <w:szCs w:val="24"/>
                <w:lang w:val="en-GB"/>
              </w:rPr>
              <w:t xml:space="preserve"> </w:t>
            </w:r>
          </w:p>
        </w:tc>
      </w:tr>
      <w:tr w:rsidR="009370EF" w:rsidRPr="00106894" w14:paraId="7571B510" w14:textId="77777777" w:rsidTr="00862F32">
        <w:tc>
          <w:tcPr>
            <w:tcW w:w="9923" w:type="dxa"/>
          </w:tcPr>
          <w:p w14:paraId="6E380055" w14:textId="11EFAECE" w:rsidR="009370EF" w:rsidRPr="007E61B2" w:rsidRDefault="009370EF" w:rsidP="00106894">
            <w:pPr>
              <w:tabs>
                <w:tab w:val="left" w:pos="0"/>
                <w:tab w:val="left" w:pos="142"/>
                <w:tab w:val="left" w:pos="517"/>
                <w:tab w:val="left" w:pos="993"/>
              </w:tabs>
              <w:spacing w:line="276" w:lineRule="auto"/>
              <w:ind w:firstLine="32"/>
              <w:jc w:val="both"/>
              <w:rPr>
                <w:rFonts w:ascii="Times New Roman" w:hAnsi="Times New Roman" w:cs="Times New Roman"/>
                <w:b/>
                <w:sz w:val="24"/>
                <w:szCs w:val="24"/>
                <w:lang w:val="en-GB"/>
              </w:rPr>
            </w:pPr>
            <w:r w:rsidRPr="007E61B2">
              <w:rPr>
                <w:rFonts w:ascii="Times New Roman" w:hAnsi="Times New Roman" w:cs="Times New Roman"/>
                <w:b/>
                <w:sz w:val="24"/>
                <w:szCs w:val="24"/>
                <w:lang w:val="en-GB"/>
              </w:rPr>
              <w:t>Output Indicator</w:t>
            </w:r>
          </w:p>
        </w:tc>
      </w:tr>
      <w:tr w:rsidR="009370EF" w:rsidRPr="00106894" w14:paraId="68F74122" w14:textId="77777777" w:rsidTr="00862F32">
        <w:tc>
          <w:tcPr>
            <w:tcW w:w="9923" w:type="dxa"/>
          </w:tcPr>
          <w:p w14:paraId="263C0E24" w14:textId="7B588298" w:rsidR="009370EF" w:rsidRPr="007E61B2" w:rsidRDefault="007E61B2" w:rsidP="00106894">
            <w:pPr>
              <w:pStyle w:val="ListParagraph"/>
              <w:numPr>
                <w:ilvl w:val="1"/>
                <w:numId w:val="16"/>
              </w:numPr>
              <w:tabs>
                <w:tab w:val="left" w:pos="0"/>
                <w:tab w:val="left" w:pos="142"/>
                <w:tab w:val="left" w:pos="462"/>
                <w:tab w:val="left" w:pos="599"/>
                <w:tab w:val="left" w:pos="993"/>
                <w:tab w:val="left" w:pos="1029"/>
              </w:tabs>
              <w:spacing w:line="276" w:lineRule="auto"/>
              <w:ind w:left="0" w:firstLine="32"/>
              <w:jc w:val="both"/>
              <w:rPr>
                <w:rFonts w:ascii="Times New Roman" w:hAnsi="Times New Roman" w:cs="Times New Roman"/>
                <w:sz w:val="24"/>
                <w:szCs w:val="24"/>
                <w:lang w:val="en-GB"/>
              </w:rPr>
            </w:pPr>
            <w:r w:rsidRPr="007E61B2">
              <w:rPr>
                <w:rFonts w:ascii="Times New Roman" w:hAnsi="Times New Roman" w:cs="Times New Roman"/>
                <w:sz w:val="24"/>
                <w:szCs w:val="24"/>
                <w:lang w:val="en-GB"/>
              </w:rPr>
              <w:t xml:space="preserve">Number of individuals who approached a Well-being </w:t>
            </w:r>
            <w:r w:rsidR="00511355">
              <w:rPr>
                <w:rFonts w:ascii="Times New Roman" w:hAnsi="Times New Roman" w:cs="Times New Roman"/>
                <w:sz w:val="24"/>
                <w:szCs w:val="24"/>
                <w:lang w:val="en-GB"/>
              </w:rPr>
              <w:t>Adviser</w:t>
            </w:r>
            <w:r w:rsidR="007B6391">
              <w:rPr>
                <w:rFonts w:ascii="Times New Roman" w:hAnsi="Times New Roman" w:cs="Times New Roman"/>
                <w:sz w:val="24"/>
                <w:szCs w:val="24"/>
                <w:lang w:val="en-GB"/>
              </w:rPr>
              <w:t>s</w:t>
            </w:r>
            <w:r w:rsidRPr="007E61B2">
              <w:rPr>
                <w:rFonts w:ascii="Times New Roman" w:hAnsi="Times New Roman" w:cs="Times New Roman"/>
                <w:sz w:val="24"/>
                <w:szCs w:val="24"/>
                <w:lang w:val="en-GB"/>
              </w:rPr>
              <w:t xml:space="preserve"> with mild symptoms of anxiety, stress, insomnia, depression or with signs of psychological adaptation problems and completed a full course of consultations</w:t>
            </w:r>
          </w:p>
        </w:tc>
      </w:tr>
    </w:tbl>
    <w:p w14:paraId="6109D673" w14:textId="77777777" w:rsidR="0050079B" w:rsidRPr="00106894" w:rsidRDefault="0050079B" w:rsidP="00106894">
      <w:pPr>
        <w:pStyle w:val="ListParagraph"/>
        <w:tabs>
          <w:tab w:val="left" w:pos="0"/>
          <w:tab w:val="left" w:pos="142"/>
          <w:tab w:val="left" w:pos="993"/>
        </w:tabs>
        <w:spacing w:after="0" w:line="240" w:lineRule="auto"/>
        <w:ind w:left="0" w:firstLine="567"/>
        <w:contextualSpacing w:val="0"/>
        <w:jc w:val="both"/>
        <w:rPr>
          <w:rFonts w:ascii="Times New Roman" w:hAnsi="Times New Roman" w:cs="Times New Roman"/>
          <w:sz w:val="24"/>
          <w:szCs w:val="24"/>
          <w:lang w:val="en-GB"/>
        </w:rPr>
      </w:pPr>
    </w:p>
    <w:p w14:paraId="10946B0F" w14:textId="400C6B20" w:rsidR="00FC3DC6" w:rsidRPr="00106894" w:rsidRDefault="00FC3DC6" w:rsidP="00FC3DC6">
      <w:pPr>
        <w:pStyle w:val="ListParagraph"/>
        <w:numPr>
          <w:ilvl w:val="0"/>
          <w:numId w:val="16"/>
        </w:numPr>
        <w:tabs>
          <w:tab w:val="left" w:pos="0"/>
          <w:tab w:val="left" w:pos="142"/>
          <w:tab w:val="left" w:pos="993"/>
        </w:tabs>
        <w:spacing w:after="120" w:line="240" w:lineRule="auto"/>
        <w:contextualSpacing w:val="0"/>
        <w:jc w:val="both"/>
        <w:rPr>
          <w:rFonts w:ascii="Times New Roman" w:hAnsi="Times New Roman" w:cs="Times New Roman"/>
          <w:sz w:val="24"/>
          <w:szCs w:val="24"/>
          <w:lang w:val="en-GB"/>
        </w:rPr>
      </w:pPr>
      <w:r>
        <w:rPr>
          <w:rFonts w:ascii="Times New Roman" w:hAnsi="Times New Roman"/>
          <w:sz w:val="24"/>
          <w:szCs w:val="24"/>
          <w:lang w:val="en-GB"/>
        </w:rPr>
        <w:t>T</w:t>
      </w:r>
      <w:r w:rsidRPr="00A61D11">
        <w:rPr>
          <w:rFonts w:ascii="Times New Roman" w:hAnsi="Times New Roman"/>
          <w:sz w:val="24"/>
          <w:szCs w:val="24"/>
          <w:lang w:val="en-GB"/>
        </w:rPr>
        <w:t>he Applicants applying in partnership with Donor State entities shall also contribute to the bilateral outcome of the Programme: "Enhanced collaboration between Donor and Beneficiary State entities involved in the Programme”, expressed by the following indicators</w:t>
      </w:r>
      <w:r w:rsidRPr="00106894">
        <w:rPr>
          <w:rFonts w:ascii="Times New Roman" w:hAnsi="Times New Roman" w:cs="Times New Roman"/>
          <w:sz w:val="24"/>
          <w:szCs w:val="24"/>
          <w:lang w:val="en-GB"/>
        </w:rPr>
        <w:t>:</w:t>
      </w:r>
    </w:p>
    <w:tbl>
      <w:tblPr>
        <w:tblStyle w:val="TableGrid"/>
        <w:tblW w:w="9962" w:type="dxa"/>
        <w:tblLook w:val="04A0" w:firstRow="1" w:lastRow="0" w:firstColumn="1" w:lastColumn="0" w:noHBand="0" w:noVBand="1"/>
      </w:tblPr>
      <w:tblGrid>
        <w:gridCol w:w="9962"/>
      </w:tblGrid>
      <w:tr w:rsidR="00807C69" w:rsidRPr="00106894" w14:paraId="6C780348" w14:textId="77777777" w:rsidTr="00807C69">
        <w:tc>
          <w:tcPr>
            <w:tcW w:w="9962" w:type="dxa"/>
          </w:tcPr>
          <w:p w14:paraId="729B45B0" w14:textId="3C9FAD08" w:rsidR="00807C69" w:rsidRPr="00106894" w:rsidRDefault="00807C69"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hAnsi="Times New Roman" w:cs="Times New Roman"/>
                <w:b/>
                <w:sz w:val="24"/>
                <w:szCs w:val="24"/>
                <w:lang w:val="en-GB"/>
              </w:rPr>
              <w:t>Outcome Indicator</w:t>
            </w:r>
            <w:r w:rsidR="00FC3DC6">
              <w:rPr>
                <w:rFonts w:ascii="Times New Roman" w:hAnsi="Times New Roman" w:cs="Times New Roman"/>
                <w:b/>
                <w:sz w:val="24"/>
                <w:szCs w:val="24"/>
                <w:lang w:val="en-GB"/>
              </w:rPr>
              <w:t>s</w:t>
            </w:r>
          </w:p>
        </w:tc>
      </w:tr>
      <w:tr w:rsidR="00807C69" w:rsidRPr="00106894" w14:paraId="79BF741A" w14:textId="77777777" w:rsidTr="00807C69">
        <w:tc>
          <w:tcPr>
            <w:tcW w:w="9962" w:type="dxa"/>
            <w:vAlign w:val="center"/>
          </w:tcPr>
          <w:p w14:paraId="67A1520E" w14:textId="5C87A76E" w:rsidR="00807C69" w:rsidRPr="00106894" w:rsidRDefault="00A31665"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23.1. </w:t>
            </w:r>
            <w:r w:rsidR="00807C69" w:rsidRPr="00106894">
              <w:rPr>
                <w:rFonts w:ascii="Times New Roman" w:eastAsia="Times New Roman" w:hAnsi="Times New Roman" w:cs="Times New Roman"/>
                <w:color w:val="000000"/>
                <w:sz w:val="24"/>
                <w:szCs w:val="24"/>
                <w:lang w:val="en-GB" w:eastAsia="en-GB"/>
              </w:rPr>
              <w:t xml:space="preserve">Level of trust between cooperating entities in Beneficiary States and Donor States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6AA240A3" w14:textId="77777777" w:rsidTr="00807C69">
        <w:tc>
          <w:tcPr>
            <w:tcW w:w="9962" w:type="dxa"/>
            <w:vAlign w:val="center"/>
          </w:tcPr>
          <w:p w14:paraId="52694076" w14:textId="34514020" w:rsidR="00807C69" w:rsidRPr="00106894" w:rsidRDefault="00A31665"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23.2. </w:t>
            </w:r>
            <w:r w:rsidR="00807C69" w:rsidRPr="00106894">
              <w:rPr>
                <w:rFonts w:ascii="Times New Roman" w:eastAsia="Times New Roman" w:hAnsi="Times New Roman" w:cs="Times New Roman"/>
                <w:color w:val="000000"/>
                <w:sz w:val="24"/>
                <w:szCs w:val="24"/>
                <w:lang w:val="en-GB" w:eastAsia="en-GB"/>
              </w:rPr>
              <w:t xml:space="preserve">Level of satisfaction with the partnership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47935E89" w14:textId="77777777" w:rsidTr="00807C69">
        <w:tc>
          <w:tcPr>
            <w:tcW w:w="9962" w:type="dxa"/>
            <w:vAlign w:val="center"/>
          </w:tcPr>
          <w:p w14:paraId="24D44AA1" w14:textId="023126F2" w:rsidR="00807C69" w:rsidRPr="00106894" w:rsidRDefault="00A31665" w:rsidP="00106894">
            <w:pPr>
              <w:tabs>
                <w:tab w:val="left" w:pos="0"/>
                <w:tab w:val="left" w:pos="142"/>
                <w:tab w:val="left" w:pos="993"/>
              </w:tabs>
              <w:spacing w:line="240" w:lineRule="auto"/>
              <w:rPr>
                <w:rFonts w:ascii="Times New Roman" w:hAnsi="Times New Roman" w:cs="Times New Roman"/>
                <w:sz w:val="24"/>
                <w:szCs w:val="24"/>
                <w:lang w:val="en-GB"/>
              </w:rPr>
            </w:pPr>
            <w:r w:rsidRPr="00106894">
              <w:rPr>
                <w:rFonts w:ascii="Times New Roman" w:eastAsia="Times New Roman" w:hAnsi="Times New Roman" w:cs="Times New Roman"/>
                <w:color w:val="000000"/>
                <w:sz w:val="24"/>
                <w:szCs w:val="24"/>
                <w:lang w:val="en-GB" w:eastAsia="en-GB"/>
              </w:rPr>
              <w:t xml:space="preserve">23.3. </w:t>
            </w:r>
            <w:r w:rsidR="00807C69" w:rsidRPr="00106894">
              <w:rPr>
                <w:rFonts w:ascii="Times New Roman" w:eastAsia="Times New Roman" w:hAnsi="Times New Roman" w:cs="Times New Roman"/>
                <w:color w:val="000000"/>
                <w:sz w:val="24"/>
                <w:szCs w:val="24"/>
                <w:lang w:val="en-GB" w:eastAsia="en-GB"/>
              </w:rPr>
              <w:t xml:space="preserve">Share of cooperating organisations that apply the knowledge acquired from bilateral partnership </w:t>
            </w:r>
            <w:r w:rsidR="00665B1A" w:rsidRPr="00665B1A">
              <w:rPr>
                <w:rFonts w:ascii="Times New Roman" w:eastAsia="Times New Roman" w:hAnsi="Times New Roman" w:cs="Times New Roman"/>
                <w:color w:val="000000"/>
                <w:sz w:val="24"/>
                <w:szCs w:val="24"/>
                <w:lang w:val="en-GB" w:eastAsia="en-GB"/>
              </w:rPr>
              <w:t>(disaggregated by State type)</w:t>
            </w:r>
          </w:p>
        </w:tc>
      </w:tr>
      <w:tr w:rsidR="00807C69" w:rsidRPr="00106894" w14:paraId="0C777554" w14:textId="77777777" w:rsidTr="00807C69">
        <w:tc>
          <w:tcPr>
            <w:tcW w:w="9962" w:type="dxa"/>
            <w:vAlign w:val="center"/>
          </w:tcPr>
          <w:p w14:paraId="4BC9E42B" w14:textId="377674BB" w:rsidR="00807C69" w:rsidRPr="00106894" w:rsidRDefault="00807C69" w:rsidP="00106894">
            <w:pPr>
              <w:tabs>
                <w:tab w:val="left" w:pos="0"/>
                <w:tab w:val="left" w:pos="142"/>
                <w:tab w:val="left" w:pos="993"/>
              </w:tabs>
              <w:spacing w:line="276" w:lineRule="auto"/>
              <w:rPr>
                <w:rFonts w:ascii="Times New Roman" w:hAnsi="Times New Roman" w:cs="Times New Roman"/>
                <w:sz w:val="24"/>
                <w:szCs w:val="24"/>
                <w:lang w:val="en-GB"/>
              </w:rPr>
            </w:pPr>
            <w:r w:rsidRPr="00106894">
              <w:rPr>
                <w:rFonts w:ascii="Times New Roman" w:eastAsia="Times New Roman" w:hAnsi="Times New Roman" w:cs="Times New Roman"/>
                <w:b/>
                <w:color w:val="000000"/>
                <w:sz w:val="24"/>
                <w:szCs w:val="24"/>
                <w:lang w:val="en-GB" w:eastAsia="en-GB"/>
              </w:rPr>
              <w:t>Output indicator</w:t>
            </w:r>
            <w:r w:rsidR="00FC3DC6">
              <w:rPr>
                <w:rFonts w:ascii="Times New Roman" w:eastAsia="Times New Roman" w:hAnsi="Times New Roman" w:cs="Times New Roman"/>
                <w:b/>
                <w:color w:val="000000"/>
                <w:sz w:val="24"/>
                <w:szCs w:val="24"/>
                <w:lang w:val="en-GB" w:eastAsia="en-GB"/>
              </w:rPr>
              <w:t>s</w:t>
            </w:r>
          </w:p>
        </w:tc>
      </w:tr>
      <w:tr w:rsidR="00807C69" w:rsidRPr="00106894" w14:paraId="7C472E37" w14:textId="77777777" w:rsidTr="00807C69">
        <w:tc>
          <w:tcPr>
            <w:tcW w:w="9962" w:type="dxa"/>
            <w:vAlign w:val="center"/>
          </w:tcPr>
          <w:p w14:paraId="7834CDE2" w14:textId="770886BE" w:rsidR="00807C69" w:rsidRPr="00665B1A" w:rsidRDefault="00A31665" w:rsidP="00106894">
            <w:pPr>
              <w:tabs>
                <w:tab w:val="left" w:pos="0"/>
                <w:tab w:val="left" w:pos="142"/>
                <w:tab w:val="left" w:pos="993"/>
              </w:tabs>
              <w:spacing w:line="276" w:lineRule="auto"/>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23.4. </w:t>
            </w:r>
            <w:r w:rsidR="00807C69" w:rsidRPr="00106894">
              <w:rPr>
                <w:rFonts w:ascii="Times New Roman" w:eastAsia="Times New Roman" w:hAnsi="Times New Roman" w:cs="Times New Roman"/>
                <w:color w:val="000000"/>
                <w:sz w:val="24"/>
                <w:szCs w:val="24"/>
                <w:lang w:val="en-GB" w:eastAsia="en-GB"/>
              </w:rPr>
              <w:t xml:space="preserve">Number of participants from Beneficiary States in exchanges </w:t>
            </w:r>
            <w:r w:rsidR="00665B1A" w:rsidRPr="00665B1A">
              <w:rPr>
                <w:rFonts w:ascii="Times New Roman" w:eastAsia="Times New Roman" w:hAnsi="Times New Roman" w:cs="Times New Roman"/>
                <w:color w:val="000000"/>
                <w:sz w:val="24"/>
                <w:szCs w:val="24"/>
                <w:lang w:val="en-GB" w:eastAsia="en-GB"/>
              </w:rPr>
              <w:t>(disaggregated by gender, Donor State)</w:t>
            </w:r>
          </w:p>
        </w:tc>
      </w:tr>
      <w:tr w:rsidR="00807C69" w:rsidRPr="00106894" w14:paraId="0B8244B4" w14:textId="77777777" w:rsidTr="00807C69">
        <w:tc>
          <w:tcPr>
            <w:tcW w:w="9962" w:type="dxa"/>
            <w:vAlign w:val="center"/>
          </w:tcPr>
          <w:p w14:paraId="3D79F8C2" w14:textId="2A45E995" w:rsidR="00807C69" w:rsidRPr="00665B1A" w:rsidRDefault="00A31665" w:rsidP="00665B1A">
            <w:pPr>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23.5. </w:t>
            </w:r>
            <w:r w:rsidR="00807C69" w:rsidRPr="00106894">
              <w:rPr>
                <w:rFonts w:ascii="Times New Roman" w:eastAsia="Times New Roman" w:hAnsi="Times New Roman" w:cs="Times New Roman"/>
                <w:color w:val="000000"/>
                <w:sz w:val="24"/>
                <w:szCs w:val="24"/>
                <w:lang w:val="en-GB" w:eastAsia="en-GB"/>
              </w:rPr>
              <w:t xml:space="preserve">Number of participants from Donor States in exchanges </w:t>
            </w:r>
            <w:r w:rsidR="00665B1A" w:rsidRPr="00665B1A">
              <w:rPr>
                <w:rFonts w:ascii="Times New Roman" w:eastAsia="Times New Roman" w:hAnsi="Times New Roman" w:cs="Times New Roman"/>
                <w:color w:val="000000"/>
                <w:sz w:val="24"/>
                <w:szCs w:val="24"/>
                <w:lang w:val="en-GB" w:eastAsia="en-GB"/>
              </w:rPr>
              <w:t>(disaggregated by gender, Donor State)</w:t>
            </w:r>
          </w:p>
        </w:tc>
      </w:tr>
      <w:tr w:rsidR="00807C69" w:rsidRPr="00106894" w14:paraId="4FDCBC53" w14:textId="77777777" w:rsidTr="00807C69">
        <w:tc>
          <w:tcPr>
            <w:tcW w:w="9962" w:type="dxa"/>
            <w:vAlign w:val="center"/>
          </w:tcPr>
          <w:p w14:paraId="0C203EA0" w14:textId="548E23EA" w:rsidR="00807C69" w:rsidRPr="00665B1A" w:rsidRDefault="00A31665" w:rsidP="00106894">
            <w:pPr>
              <w:tabs>
                <w:tab w:val="left" w:pos="0"/>
                <w:tab w:val="left" w:pos="142"/>
                <w:tab w:val="left" w:pos="993"/>
              </w:tabs>
              <w:spacing w:line="276" w:lineRule="auto"/>
              <w:rPr>
                <w:rFonts w:ascii="Times New Roman" w:eastAsia="Times New Roman" w:hAnsi="Times New Roman" w:cs="Times New Roman"/>
                <w:color w:val="000000"/>
                <w:sz w:val="24"/>
                <w:szCs w:val="24"/>
                <w:lang w:val="en-GB" w:eastAsia="en-GB"/>
              </w:rPr>
            </w:pPr>
            <w:r w:rsidRPr="00106894">
              <w:rPr>
                <w:rFonts w:ascii="Times New Roman" w:eastAsia="Times New Roman" w:hAnsi="Times New Roman" w:cs="Times New Roman"/>
                <w:color w:val="000000"/>
                <w:sz w:val="24"/>
                <w:szCs w:val="24"/>
                <w:lang w:val="en-GB" w:eastAsia="en-GB"/>
              </w:rPr>
              <w:t xml:space="preserve">23.6. </w:t>
            </w:r>
            <w:r w:rsidR="00807C69" w:rsidRPr="00106894">
              <w:rPr>
                <w:rFonts w:ascii="Times New Roman" w:eastAsia="Times New Roman" w:hAnsi="Times New Roman" w:cs="Times New Roman"/>
                <w:color w:val="000000"/>
                <w:sz w:val="24"/>
                <w:szCs w:val="24"/>
                <w:lang w:val="en-GB" w:eastAsia="en-GB"/>
              </w:rPr>
              <w:t xml:space="preserve">Number of projects involving cooperation with a Donor Project Partner </w:t>
            </w:r>
            <w:r w:rsidR="00665B1A" w:rsidRPr="00665B1A">
              <w:rPr>
                <w:rFonts w:ascii="Times New Roman" w:eastAsia="Times New Roman" w:hAnsi="Times New Roman" w:cs="Times New Roman"/>
                <w:color w:val="000000"/>
                <w:sz w:val="24"/>
                <w:szCs w:val="24"/>
                <w:lang w:val="en-GB" w:eastAsia="en-GB"/>
              </w:rPr>
              <w:t>(disaggregated by Donor State)</w:t>
            </w:r>
          </w:p>
        </w:tc>
      </w:tr>
    </w:tbl>
    <w:p w14:paraId="344750C8" w14:textId="64748E3F" w:rsidR="00106894" w:rsidRPr="00106894" w:rsidRDefault="00802CB1" w:rsidP="00106894">
      <w:pPr>
        <w:pStyle w:val="ListParagraph"/>
        <w:numPr>
          <w:ilvl w:val="0"/>
          <w:numId w:val="17"/>
        </w:numPr>
        <w:tabs>
          <w:tab w:val="left" w:pos="0"/>
          <w:tab w:val="left" w:pos="142"/>
          <w:tab w:val="left" w:pos="567"/>
          <w:tab w:val="left" w:pos="993"/>
          <w:tab w:val="left" w:pos="1134"/>
        </w:tabs>
        <w:spacing w:before="120"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The project must aim for this monitoring indicator related to the continuity of the project, whose values will have to be ensured and achieved during the project continuity period, </w:t>
      </w:r>
      <w:proofErr w:type="spellStart"/>
      <w:r w:rsidRPr="00106894">
        <w:rPr>
          <w:rFonts w:ascii="Times New Roman" w:hAnsi="Times New Roman" w:cs="Times New Roman"/>
          <w:sz w:val="24"/>
          <w:szCs w:val="24"/>
          <w:lang w:val="en-GB"/>
        </w:rPr>
        <w:t>i</w:t>
      </w:r>
      <w:proofErr w:type="spellEnd"/>
      <w:r w:rsidRPr="00106894">
        <w:rPr>
          <w:rFonts w:ascii="Times New Roman" w:hAnsi="Times New Roman" w:cs="Times New Roman"/>
          <w:sz w:val="24"/>
          <w:szCs w:val="24"/>
          <w:lang w:val="en-GB"/>
        </w:rPr>
        <w:t>. e. for 5 years after the end of the project:</w:t>
      </w:r>
    </w:p>
    <w:tbl>
      <w:tblPr>
        <w:tblStyle w:val="TableGrid"/>
        <w:tblW w:w="0" w:type="auto"/>
        <w:tblInd w:w="-5" w:type="dxa"/>
        <w:tblLook w:val="04A0" w:firstRow="1" w:lastRow="0" w:firstColumn="1" w:lastColumn="0" w:noHBand="0" w:noVBand="1"/>
      </w:tblPr>
      <w:tblGrid>
        <w:gridCol w:w="9923"/>
      </w:tblGrid>
      <w:tr w:rsidR="00490DA8" w:rsidRPr="00106894" w14:paraId="3B356920" w14:textId="77777777" w:rsidTr="00862F32">
        <w:tc>
          <w:tcPr>
            <w:tcW w:w="9923" w:type="dxa"/>
          </w:tcPr>
          <w:p w14:paraId="3A7525BC" w14:textId="6E2E9DE4" w:rsidR="00490DA8" w:rsidRPr="00106894" w:rsidRDefault="0057722C" w:rsidP="00106894">
            <w:pPr>
              <w:tabs>
                <w:tab w:val="left" w:pos="0"/>
                <w:tab w:val="left" w:pos="142"/>
                <w:tab w:val="left" w:pos="993"/>
              </w:tabs>
              <w:spacing w:line="276" w:lineRule="auto"/>
              <w:jc w:val="both"/>
              <w:rPr>
                <w:rFonts w:ascii="Times New Roman" w:hAnsi="Times New Roman" w:cs="Times New Roman"/>
                <w:b/>
                <w:sz w:val="24"/>
                <w:szCs w:val="24"/>
                <w:lang w:val="en-GB"/>
              </w:rPr>
            </w:pPr>
            <w:r w:rsidRPr="00106894">
              <w:rPr>
                <w:rFonts w:ascii="Times New Roman" w:hAnsi="Times New Roman" w:cs="Times New Roman"/>
                <w:b/>
                <w:sz w:val="24"/>
                <w:szCs w:val="24"/>
                <w:lang w:val="en-GB"/>
              </w:rPr>
              <w:t>Outcome Indicator</w:t>
            </w:r>
          </w:p>
        </w:tc>
      </w:tr>
      <w:tr w:rsidR="00490DA8" w:rsidRPr="00106894" w14:paraId="507194CD" w14:textId="77777777" w:rsidTr="00862F32">
        <w:tc>
          <w:tcPr>
            <w:tcW w:w="9923" w:type="dxa"/>
          </w:tcPr>
          <w:p w14:paraId="0B0EC393" w14:textId="45E31568" w:rsidR="00490DA8" w:rsidRPr="00106894" w:rsidRDefault="00106894" w:rsidP="00665B1A">
            <w:pPr>
              <w:pStyle w:val="ListParagraph"/>
              <w:numPr>
                <w:ilvl w:val="1"/>
                <w:numId w:val="34"/>
              </w:numPr>
              <w:tabs>
                <w:tab w:val="left" w:pos="0"/>
                <w:tab w:val="left" w:pos="142"/>
                <w:tab w:val="left" w:pos="517"/>
                <w:tab w:val="left" w:pos="993"/>
                <w:tab w:val="left" w:pos="1024"/>
              </w:tabs>
              <w:spacing w:line="276" w:lineRule="auto"/>
              <w:ind w:left="32"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9169A" w:rsidRPr="00665B1A">
              <w:rPr>
                <w:rFonts w:ascii="Times New Roman" w:hAnsi="Times New Roman" w:cs="Times New Roman"/>
                <w:sz w:val="24"/>
                <w:szCs w:val="24"/>
                <w:lang w:val="en-GB"/>
              </w:rPr>
              <w:t xml:space="preserve">Number of </w:t>
            </w:r>
            <w:r w:rsidR="00665B1A" w:rsidRPr="00665B1A">
              <w:rPr>
                <w:rFonts w:ascii="Times New Roman" w:hAnsi="Times New Roman" w:cs="Times New Roman"/>
                <w:sz w:val="24"/>
                <w:szCs w:val="24"/>
                <w:lang w:val="en-GB"/>
              </w:rPr>
              <w:t>individuals</w:t>
            </w:r>
            <w:r w:rsidR="0069169A" w:rsidRPr="00665B1A">
              <w:rPr>
                <w:rFonts w:ascii="Times New Roman" w:hAnsi="Times New Roman" w:cs="Times New Roman"/>
                <w:sz w:val="24"/>
                <w:szCs w:val="24"/>
                <w:lang w:val="en-GB"/>
              </w:rPr>
              <w:t xml:space="preserve"> having received </w:t>
            </w:r>
            <w:r w:rsidR="00665B1A" w:rsidRPr="00665B1A">
              <w:rPr>
                <w:rFonts w:ascii="Times New Roman" w:hAnsi="Times New Roman" w:cs="Times New Roman"/>
                <w:sz w:val="24"/>
                <w:szCs w:val="24"/>
                <w:lang w:val="en-GB"/>
              </w:rPr>
              <w:t xml:space="preserve">the service per year after the end of the project implementation period </w:t>
            </w:r>
          </w:p>
        </w:tc>
      </w:tr>
    </w:tbl>
    <w:p w14:paraId="3066515E" w14:textId="2AC97262" w:rsidR="00490DA8" w:rsidRPr="00106894" w:rsidRDefault="00BC596E" w:rsidP="00106894">
      <w:pPr>
        <w:pStyle w:val="ListParagraph"/>
        <w:numPr>
          <w:ilvl w:val="0"/>
          <w:numId w:val="17"/>
        </w:numPr>
        <w:tabs>
          <w:tab w:val="left" w:pos="0"/>
          <w:tab w:val="left" w:pos="142"/>
          <w:tab w:val="left" w:pos="851"/>
          <w:tab w:val="left" w:pos="993"/>
          <w:tab w:val="left" w:pos="1134"/>
        </w:tabs>
        <w:spacing w:before="120"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lastRenderedPageBreak/>
        <w:t>Monitoring indicators are</w:t>
      </w:r>
      <w:r w:rsidR="00421D47">
        <w:rPr>
          <w:rFonts w:ascii="Times New Roman" w:hAnsi="Times New Roman" w:cs="Times New Roman"/>
          <w:sz w:val="24"/>
          <w:szCs w:val="24"/>
          <w:lang w:val="en-GB"/>
        </w:rPr>
        <w:t xml:space="preserve"> calculated according to Annex 8</w:t>
      </w:r>
      <w:r w:rsidRPr="00106894">
        <w:rPr>
          <w:rFonts w:ascii="Times New Roman" w:hAnsi="Times New Roman" w:cs="Times New Roman"/>
          <w:sz w:val="24"/>
          <w:szCs w:val="24"/>
          <w:lang w:val="en-GB"/>
        </w:rPr>
        <w:t xml:space="preserve"> of the Guidelines.</w:t>
      </w:r>
      <w:r w:rsidR="00FC3DC6">
        <w:rPr>
          <w:rFonts w:ascii="Times New Roman" w:hAnsi="Times New Roman" w:cs="Times New Roman"/>
          <w:sz w:val="24"/>
          <w:szCs w:val="24"/>
          <w:lang w:val="en-GB"/>
        </w:rPr>
        <w:t xml:space="preserve"> </w:t>
      </w:r>
      <w:r w:rsidR="00FC3DC6" w:rsidRPr="00BA0D39">
        <w:rPr>
          <w:rFonts w:ascii="Times New Roman" w:hAnsi="Times New Roman" w:cs="Times New Roman"/>
          <w:sz w:val="24"/>
          <w:szCs w:val="24"/>
          <w:lang w:val="en-GB"/>
        </w:rPr>
        <w:t xml:space="preserve">The Applicants should monitor and report on achievement of the indicators as defined in Annex </w:t>
      </w:r>
      <w:r w:rsidR="00FC3DC6">
        <w:rPr>
          <w:rFonts w:ascii="Times New Roman" w:hAnsi="Times New Roman" w:cs="Times New Roman"/>
          <w:sz w:val="24"/>
          <w:szCs w:val="24"/>
          <w:lang w:val="en-GB"/>
        </w:rPr>
        <w:t>8.</w:t>
      </w:r>
      <w:r w:rsidR="00FC3DC6" w:rsidRPr="00BA0D39">
        <w:rPr>
          <w:rFonts w:ascii="Times New Roman" w:hAnsi="Times New Roman" w:cs="Times New Roman"/>
          <w:sz w:val="24"/>
          <w:szCs w:val="24"/>
          <w:lang w:val="en-GB"/>
        </w:rPr>
        <w:t xml:space="preserve"> </w:t>
      </w:r>
      <w:proofErr w:type="gramStart"/>
      <w:r w:rsidR="00FC3DC6" w:rsidRPr="00BA0D39">
        <w:rPr>
          <w:rFonts w:ascii="Times New Roman" w:hAnsi="Times New Roman" w:cs="Times New Roman"/>
          <w:sz w:val="24"/>
          <w:szCs w:val="24"/>
          <w:lang w:val="en-GB"/>
        </w:rPr>
        <w:t>to</w:t>
      </w:r>
      <w:proofErr w:type="gramEnd"/>
      <w:r w:rsidR="00FC3DC6" w:rsidRPr="00BA0D39">
        <w:rPr>
          <w:rFonts w:ascii="Times New Roman" w:hAnsi="Times New Roman" w:cs="Times New Roman"/>
          <w:sz w:val="24"/>
          <w:szCs w:val="24"/>
          <w:lang w:val="en-GB"/>
        </w:rPr>
        <w:t xml:space="preserve"> the Guidelines. </w:t>
      </w:r>
    </w:p>
    <w:p w14:paraId="620F5BE6" w14:textId="4312031F" w:rsidR="004D132D" w:rsidRPr="00106894" w:rsidRDefault="00D967F8"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A maximum period of 30 months from the start of the project implementation must be provided for the implementation of the activities envisaged in the project. </w:t>
      </w:r>
      <w:r w:rsidR="00A12BCB" w:rsidRPr="00106894">
        <w:rPr>
          <w:rFonts w:ascii="Times New Roman" w:hAnsi="Times New Roman" w:cs="Times New Roman"/>
          <w:sz w:val="24"/>
          <w:szCs w:val="24"/>
          <w:lang w:val="en-GB"/>
        </w:rPr>
        <w:t>T</w:t>
      </w:r>
      <w:r w:rsidRPr="00106894">
        <w:rPr>
          <w:rFonts w:ascii="Times New Roman" w:hAnsi="Times New Roman" w:cs="Times New Roman"/>
          <w:sz w:val="24"/>
          <w:szCs w:val="24"/>
          <w:lang w:val="en-GB"/>
        </w:rPr>
        <w:t>he period of implementation of the project activities</w:t>
      </w:r>
      <w:bookmarkStart w:id="2" w:name="_Hlk60978871"/>
      <w:r w:rsidR="00A12BCB" w:rsidRPr="00106894">
        <w:rPr>
          <w:rFonts w:ascii="Times New Roman" w:hAnsi="Times New Roman" w:cs="Times New Roman"/>
          <w:sz w:val="24"/>
          <w:szCs w:val="24"/>
          <w:lang w:val="en-GB"/>
        </w:rPr>
        <w:t xml:space="preserve"> </w:t>
      </w:r>
      <w:r w:rsidR="004D132D" w:rsidRPr="00106894">
        <w:rPr>
          <w:rFonts w:ascii="Times New Roman" w:hAnsi="Times New Roman" w:cs="Times New Roman"/>
          <w:sz w:val="24"/>
          <w:szCs w:val="24"/>
          <w:lang w:val="en-GB"/>
        </w:rPr>
        <w:t>may be extended in presence of duly justified reasons, but not longer than till 30 April 2024.</w:t>
      </w:r>
    </w:p>
    <w:p w14:paraId="4B9D72D4" w14:textId="65FFDD4D" w:rsidR="00292B27" w:rsidRPr="00106894" w:rsidRDefault="00292B27"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3" w:name="_Hlk60978960"/>
      <w:r w:rsidRPr="00106894">
        <w:rPr>
          <w:rFonts w:ascii="Times New Roman" w:hAnsi="Times New Roman" w:cs="Times New Roman"/>
          <w:sz w:val="24"/>
          <w:szCs w:val="24"/>
          <w:lang w:val="en-GB"/>
        </w:rPr>
        <w:t>The project shall be prepared in observance of the principles of good governance (accountability, transparency, participation, equality, rule of law, skills, competence and sensitivity to human needs shall be ensured in the implementation of the project), sustainable development (alignment of economic, social development and environmental protection objectives, taking into account their complex interdependence and the expected effects of their implementation) and gender equality and equal opportunities (ensuring equal opportunities for women and men and the elimination of any discrimination based on ethnic or racial origin, age, disability, sexual orientation, religion or views). The project cannot have an adverse impact on these principles.</w:t>
      </w:r>
    </w:p>
    <w:p w14:paraId="62D71A17" w14:textId="3ADB292E" w:rsidR="001E5344" w:rsidRPr="00106894" w:rsidRDefault="001E5344"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4" w:name="_Hlk60979026"/>
      <w:bookmarkEnd w:id="2"/>
      <w:bookmarkEnd w:id="3"/>
      <w:r w:rsidRPr="00106894">
        <w:rPr>
          <w:rFonts w:ascii="Times New Roman" w:hAnsi="Times New Roman" w:cs="Times New Roman"/>
          <w:sz w:val="24"/>
          <w:szCs w:val="24"/>
          <w:lang w:val="en-GB"/>
        </w:rPr>
        <w:t>The project shall meet the set project administrative compliance criteria, general project selection criteria and specific project compliance criteria (project eligibility criteria) and shall aim to meet the specific priority project selection criteria (benefit and quality</w:t>
      </w:r>
      <w:r w:rsidR="0033565D" w:rsidRPr="00106894">
        <w:rPr>
          <w:rFonts w:ascii="Times New Roman" w:hAnsi="Times New Roman" w:cs="Times New Roman"/>
          <w:sz w:val="24"/>
          <w:szCs w:val="24"/>
          <w:lang w:val="en-GB"/>
        </w:rPr>
        <w:t xml:space="preserve"> evaluation criteria</w:t>
      </w:r>
      <w:r w:rsidR="00D509C4">
        <w:rPr>
          <w:rFonts w:ascii="Times New Roman" w:hAnsi="Times New Roman" w:cs="Times New Roman"/>
          <w:sz w:val="24"/>
          <w:szCs w:val="24"/>
          <w:lang w:val="en-GB"/>
        </w:rPr>
        <w:t>) laid down in Annexes 5, 6 and 7</w:t>
      </w:r>
      <w:r w:rsidRPr="00106894">
        <w:rPr>
          <w:rFonts w:ascii="Times New Roman" w:hAnsi="Times New Roman" w:cs="Times New Roman"/>
          <w:sz w:val="24"/>
          <w:szCs w:val="24"/>
          <w:lang w:val="en-GB"/>
        </w:rPr>
        <w:t xml:space="preserve"> to the Guidelines.</w:t>
      </w:r>
    </w:p>
    <w:p w14:paraId="1506A196" w14:textId="74198339" w:rsidR="00B73526" w:rsidRDefault="00B73526" w:rsidP="00106894">
      <w:pPr>
        <w:pStyle w:val="ListParagraph"/>
        <w:numPr>
          <w:ilvl w:val="0"/>
          <w:numId w:val="17"/>
        </w:numPr>
        <w:tabs>
          <w:tab w:val="left" w:pos="0"/>
          <w:tab w:val="left" w:pos="142"/>
          <w:tab w:val="left" w:pos="851"/>
          <w:tab w:val="left" w:pos="993"/>
          <w:tab w:val="left" w:pos="1134"/>
        </w:tabs>
        <w:spacing w:after="0" w:line="259" w:lineRule="auto"/>
        <w:ind w:left="0" w:firstLine="567"/>
        <w:contextualSpacing w:val="0"/>
        <w:jc w:val="both"/>
        <w:rPr>
          <w:rFonts w:ascii="Times New Roman" w:hAnsi="Times New Roman" w:cs="Times New Roman"/>
          <w:sz w:val="24"/>
          <w:szCs w:val="24"/>
          <w:lang w:val="en-GB"/>
        </w:rPr>
      </w:pPr>
      <w:bookmarkStart w:id="5" w:name="_Hlk60979109"/>
      <w:bookmarkEnd w:id="4"/>
      <w:r w:rsidRPr="00106894">
        <w:rPr>
          <w:rFonts w:ascii="Times New Roman" w:hAnsi="Times New Roman" w:cs="Times New Roman"/>
          <w:sz w:val="24"/>
          <w:szCs w:val="24"/>
          <w:lang w:val="en-GB"/>
        </w:rPr>
        <w:t>The project shall be non-profit-making, aimed at serving the public interest (pursuing goals important to the society rather than a commercial interest or satisfaction of needs of a single person (legal or private).</w:t>
      </w:r>
    </w:p>
    <w:p w14:paraId="11CC15ED" w14:textId="77777777" w:rsidR="000E7C80" w:rsidRPr="00106894" w:rsidRDefault="000E7C80" w:rsidP="000E7C80">
      <w:pPr>
        <w:pStyle w:val="ListParagraph"/>
        <w:tabs>
          <w:tab w:val="left" w:pos="0"/>
          <w:tab w:val="left" w:pos="142"/>
          <w:tab w:val="left" w:pos="851"/>
          <w:tab w:val="left" w:pos="993"/>
          <w:tab w:val="left" w:pos="1134"/>
        </w:tabs>
        <w:spacing w:after="0" w:line="259" w:lineRule="auto"/>
        <w:ind w:left="567"/>
        <w:contextualSpacing w:val="0"/>
        <w:jc w:val="both"/>
        <w:rPr>
          <w:rFonts w:ascii="Times New Roman" w:hAnsi="Times New Roman" w:cs="Times New Roman"/>
          <w:sz w:val="24"/>
          <w:szCs w:val="24"/>
          <w:lang w:val="en-GB"/>
        </w:rPr>
      </w:pPr>
    </w:p>
    <w:bookmarkEnd w:id="5"/>
    <w:p w14:paraId="1C73B2DC" w14:textId="77777777" w:rsidR="00F4342F" w:rsidRPr="00106894" w:rsidRDefault="00F4342F" w:rsidP="00106894">
      <w:pPr>
        <w:pStyle w:val="ListParagraph"/>
        <w:numPr>
          <w:ilvl w:val="0"/>
          <w:numId w:val="3"/>
        </w:numPr>
        <w:tabs>
          <w:tab w:val="left" w:pos="0"/>
          <w:tab w:val="left" w:pos="142"/>
        </w:tabs>
        <w:spacing w:after="12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 xml:space="preserve">Requirements for the provision of </w:t>
      </w:r>
      <w:r w:rsidRPr="00106894">
        <w:rPr>
          <w:rFonts w:ascii="Times New Roman" w:hAnsi="Times New Roman" w:cs="Times New Roman"/>
          <w:b/>
          <w:bCs/>
          <w:i/>
          <w:caps/>
          <w:sz w:val="24"/>
          <w:szCs w:val="24"/>
          <w:lang w:val="en-GB"/>
        </w:rPr>
        <w:t>DE MINIMIS</w:t>
      </w:r>
      <w:r w:rsidRPr="00106894">
        <w:rPr>
          <w:rFonts w:ascii="Times New Roman" w:hAnsi="Times New Roman" w:cs="Times New Roman"/>
          <w:b/>
          <w:bCs/>
          <w:caps/>
          <w:sz w:val="24"/>
          <w:szCs w:val="24"/>
          <w:lang w:val="en-GB"/>
        </w:rPr>
        <w:t xml:space="preserve"> aid</w:t>
      </w:r>
    </w:p>
    <w:p w14:paraId="1DA16CB4" w14:textId="77777777" w:rsidR="00F4342F" w:rsidRPr="00106894" w:rsidRDefault="00F4342F" w:rsidP="00106894">
      <w:pPr>
        <w:pStyle w:val="ListParagraph"/>
        <w:tabs>
          <w:tab w:val="left" w:pos="0"/>
          <w:tab w:val="left" w:pos="142"/>
        </w:tabs>
        <w:spacing w:after="120" w:line="240" w:lineRule="auto"/>
        <w:ind w:left="1080" w:firstLine="567"/>
        <w:rPr>
          <w:rFonts w:ascii="Times New Roman" w:hAnsi="Times New Roman" w:cs="Times New Roman"/>
          <w:b/>
          <w:bCs/>
          <w:sz w:val="24"/>
          <w:szCs w:val="24"/>
          <w:lang w:val="en-GB"/>
        </w:rPr>
      </w:pPr>
    </w:p>
    <w:p w14:paraId="5FD954EF" w14:textId="274149A8" w:rsidR="00B73526" w:rsidRPr="00106894" w:rsidRDefault="00E416B8" w:rsidP="00106894">
      <w:pPr>
        <w:pStyle w:val="ListParagraph"/>
        <w:tabs>
          <w:tab w:val="left" w:pos="0"/>
          <w:tab w:val="left" w:pos="142"/>
        </w:tabs>
        <w:spacing w:after="120" w:line="240" w:lineRule="auto"/>
        <w:ind w:left="0" w:firstLine="567"/>
        <w:jc w:val="both"/>
        <w:rPr>
          <w:rFonts w:ascii="Times New Roman" w:hAnsi="Times New Roman" w:cs="Times New Roman"/>
          <w:b/>
          <w:bCs/>
          <w:sz w:val="24"/>
          <w:szCs w:val="24"/>
          <w:lang w:val="en-GB"/>
        </w:rPr>
      </w:pPr>
      <w:r w:rsidRPr="00106894">
        <w:rPr>
          <w:rFonts w:ascii="Times New Roman" w:hAnsi="Times New Roman" w:cs="Times New Roman"/>
          <w:sz w:val="24"/>
          <w:szCs w:val="24"/>
          <w:lang w:val="en-GB"/>
        </w:rPr>
        <w:t xml:space="preserve">30. </w:t>
      </w:r>
      <w:r w:rsidR="00F4342F" w:rsidRPr="00106894">
        <w:rPr>
          <w:rFonts w:ascii="Times New Roman" w:hAnsi="Times New Roman" w:cs="Times New Roman"/>
          <w:sz w:val="24"/>
          <w:szCs w:val="24"/>
          <w:lang w:val="en-GB"/>
        </w:rPr>
        <w:t xml:space="preserve">According to the Guidelines, </w:t>
      </w:r>
      <w:r w:rsidRPr="00106894">
        <w:rPr>
          <w:rFonts w:ascii="Times New Roman" w:hAnsi="Times New Roman" w:cs="Times New Roman"/>
          <w:sz w:val="24"/>
          <w:szCs w:val="24"/>
          <w:lang w:val="en-GB"/>
        </w:rPr>
        <w:t xml:space="preserve">no state aid is granted to the Applicants. </w:t>
      </w:r>
    </w:p>
    <w:p w14:paraId="48AD0B2D" w14:textId="488F353F" w:rsidR="00E416B8" w:rsidRPr="00106894" w:rsidRDefault="00E416B8" w:rsidP="00106894">
      <w:pPr>
        <w:tabs>
          <w:tab w:val="left" w:pos="0"/>
          <w:tab w:val="left" w:pos="142"/>
        </w:tabs>
        <w:spacing w:after="120" w:line="240" w:lineRule="auto"/>
        <w:ind w:firstLine="567"/>
        <w:jc w:val="both"/>
        <w:rPr>
          <w:rFonts w:ascii="Times New Roman" w:hAnsi="Times New Roman" w:cs="Times New Roman"/>
          <w:b/>
          <w:bCs/>
          <w:sz w:val="24"/>
          <w:szCs w:val="24"/>
          <w:lang w:val="en-GB"/>
        </w:rPr>
      </w:pPr>
    </w:p>
    <w:p w14:paraId="3A4EECEA" w14:textId="77777777" w:rsidR="00A174B7" w:rsidRPr="00106894" w:rsidRDefault="00A174B7" w:rsidP="00106894">
      <w:pPr>
        <w:pStyle w:val="ListParagraph"/>
        <w:numPr>
          <w:ilvl w:val="0"/>
          <w:numId w:val="3"/>
        </w:numPr>
        <w:tabs>
          <w:tab w:val="left" w:pos="0"/>
          <w:tab w:val="left" w:pos="142"/>
        </w:tabs>
        <w:spacing w:after="120" w:line="240" w:lineRule="auto"/>
        <w:ind w:firstLine="567"/>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Requirements for eligible project costs and financing</w:t>
      </w:r>
    </w:p>
    <w:p w14:paraId="0B239570" w14:textId="77777777" w:rsidR="00A174B7" w:rsidRPr="00106894" w:rsidRDefault="00A174B7" w:rsidP="00106894">
      <w:pPr>
        <w:pStyle w:val="ListParagraph"/>
        <w:tabs>
          <w:tab w:val="left" w:pos="0"/>
          <w:tab w:val="left" w:pos="142"/>
        </w:tabs>
        <w:spacing w:after="120" w:line="240" w:lineRule="auto"/>
        <w:ind w:left="360" w:firstLine="567"/>
        <w:jc w:val="both"/>
        <w:rPr>
          <w:rFonts w:ascii="Times New Roman" w:eastAsia="Times New Roman" w:hAnsi="Times New Roman" w:cs="Times New Roman"/>
          <w:sz w:val="24"/>
          <w:szCs w:val="24"/>
          <w:lang w:val="en-GB" w:eastAsia="lt-LT"/>
        </w:rPr>
      </w:pPr>
    </w:p>
    <w:p w14:paraId="1F9B73DC" w14:textId="358DA2FC" w:rsidR="00A174B7" w:rsidRPr="00106894" w:rsidRDefault="00A174B7"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Project costs shall comply with requirements which project costs are subject to, laid down in Chapter XIX of the MAFR and the eligibility requirements set out in Chapter 8 of the Regulation.</w:t>
      </w:r>
    </w:p>
    <w:p w14:paraId="5EA4A007" w14:textId="1EB5E1FD" w:rsidR="00380563" w:rsidRPr="00106894" w:rsidRDefault="0052192B"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The minimum amount of mechanism and co-financing funds, which may be requested under this call, shall </w:t>
      </w:r>
      <w:r w:rsidR="00380563" w:rsidRPr="00106894">
        <w:rPr>
          <w:rFonts w:ascii="Times New Roman" w:eastAsia="Times New Roman" w:hAnsi="Times New Roman" w:cs="Times New Roman"/>
          <w:sz w:val="24"/>
          <w:szCs w:val="24"/>
          <w:lang w:val="en-GB" w:eastAsia="lt-LT"/>
        </w:rPr>
        <w:t xml:space="preserve">be </w:t>
      </w:r>
      <w:r w:rsidRPr="00106894">
        <w:rPr>
          <w:rFonts w:ascii="Times New Roman" w:eastAsia="Times New Roman" w:hAnsi="Times New Roman" w:cs="Times New Roman"/>
          <w:sz w:val="24"/>
          <w:szCs w:val="24"/>
          <w:lang w:val="en-GB" w:eastAsia="lt-LT"/>
        </w:rPr>
        <w:t>45 000</w:t>
      </w:r>
      <w:proofErr w:type="gramStart"/>
      <w:r w:rsidRPr="00106894">
        <w:rPr>
          <w:rFonts w:ascii="Times New Roman" w:eastAsia="Times New Roman" w:hAnsi="Times New Roman" w:cs="Times New Roman"/>
          <w:sz w:val="24"/>
          <w:szCs w:val="24"/>
          <w:lang w:val="en-GB" w:eastAsia="lt-LT"/>
        </w:rPr>
        <w:t>,00</w:t>
      </w:r>
      <w:proofErr w:type="gramEnd"/>
      <w:r w:rsidRPr="00106894">
        <w:rPr>
          <w:rFonts w:ascii="Times New Roman" w:eastAsia="Times New Roman" w:hAnsi="Times New Roman" w:cs="Times New Roman"/>
          <w:sz w:val="24"/>
          <w:szCs w:val="24"/>
          <w:lang w:val="en-GB" w:eastAsia="lt-LT"/>
        </w:rPr>
        <w:t xml:space="preserve"> (</w:t>
      </w:r>
      <w:r w:rsidR="00380563" w:rsidRPr="00106894">
        <w:rPr>
          <w:rFonts w:ascii="Times New Roman" w:eastAsia="Times New Roman" w:hAnsi="Times New Roman" w:cs="Times New Roman"/>
          <w:sz w:val="24"/>
          <w:szCs w:val="24"/>
          <w:lang w:val="en-GB" w:eastAsia="lt-LT"/>
        </w:rPr>
        <w:t>forty-five thousand euros</w:t>
      </w:r>
      <w:r w:rsidRPr="00106894">
        <w:rPr>
          <w:rFonts w:ascii="Times New Roman" w:eastAsia="Times New Roman" w:hAnsi="Times New Roman" w:cs="Times New Roman"/>
          <w:sz w:val="24"/>
          <w:szCs w:val="24"/>
          <w:lang w:val="en-GB" w:eastAsia="lt-LT"/>
        </w:rPr>
        <w:t>), and the maximum shall be 142 000,00 (</w:t>
      </w:r>
      <w:r w:rsidR="00380563" w:rsidRPr="00106894">
        <w:rPr>
          <w:rFonts w:ascii="Times New Roman" w:eastAsia="Times New Roman" w:hAnsi="Times New Roman" w:cs="Times New Roman"/>
          <w:sz w:val="24"/>
          <w:szCs w:val="24"/>
          <w:lang w:val="en-GB" w:eastAsia="lt-LT"/>
        </w:rPr>
        <w:t xml:space="preserve">one hundred forty-two thousand euros). </w:t>
      </w:r>
    </w:p>
    <w:p w14:paraId="66E6F4BA" w14:textId="6E8D21E9" w:rsidR="00BB38AB" w:rsidRPr="00106894" w:rsidRDefault="00BB38AB" w:rsidP="00106894">
      <w:pPr>
        <w:pStyle w:val="ListParagraph"/>
        <w:numPr>
          <w:ilvl w:val="0"/>
          <w:numId w:val="19"/>
        </w:numPr>
        <w:tabs>
          <w:tab w:val="left" w:pos="0"/>
          <w:tab w:val="left" w:pos="142"/>
          <w:tab w:val="left" w:pos="993"/>
        </w:tabs>
        <w:spacing w:after="120" w:line="240" w:lineRule="auto"/>
        <w:ind w:left="0" w:firstLine="567"/>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Mechanism and co-financing funds shall constitute 100 percent of the total eligible costs of the project.</w:t>
      </w:r>
    </w:p>
    <w:p w14:paraId="5FB3F176" w14:textId="7203EF26" w:rsidR="0070557F" w:rsidRPr="00106894" w:rsidRDefault="0070557F"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Eligible costs must be directly related to the implementation of the project and they are necessary to achieve the objective of the project and the intended results. In planning the project budget, the principles of economy, efficiency and effectiveness must be respected.</w:t>
      </w:r>
    </w:p>
    <w:p w14:paraId="52BD6876" w14:textId="2D50B85D" w:rsidR="00C05663" w:rsidRPr="00106894" w:rsidRDefault="00C05663"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Only costs incurred for activities that have been implemented since the date when a decision on the financing of the project has been adopted are financed with the Mechanism and co-financing funds. Inclusion of certain costs in the project budget cannot be considered as prior confirmation that, during the implementation of the project, those costs will be approved as eligible. All project activities </w:t>
      </w:r>
      <w:r w:rsidRPr="00106894">
        <w:rPr>
          <w:rFonts w:ascii="Times New Roman" w:eastAsia="Times New Roman" w:hAnsi="Times New Roman" w:cs="Times New Roman"/>
          <w:sz w:val="24"/>
          <w:szCs w:val="24"/>
          <w:lang w:val="en-GB" w:eastAsia="lt-LT"/>
        </w:rPr>
        <w:lastRenderedPageBreak/>
        <w:t>must be completed and costs must be incurred and paid during the eligibility period of the project costs until the end date of the eligibility period of the project costs, which is specified in the project contract, except for the costs for which an invoice has been issued in the last month of the project eligibility period, and which are considered as eligible if an invoice justifying the costs of the project is paid within 30 days of the end of the eligibility period for project costs. 30 April 2024 is the final date of eligible costs.</w:t>
      </w:r>
    </w:p>
    <w:p w14:paraId="7DED2A75" w14:textId="1B30B216" w:rsidR="00694A5D" w:rsidRPr="00106894" w:rsidRDefault="00891DB6"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bookmarkStart w:id="6" w:name="_Hlk60979470"/>
      <w:r w:rsidRPr="00106894">
        <w:rPr>
          <w:rFonts w:ascii="Times New Roman" w:eastAsia="Times New Roman" w:hAnsi="Times New Roman" w:cs="Times New Roman"/>
          <w:sz w:val="24"/>
          <w:szCs w:val="24"/>
          <w:lang w:val="en-GB" w:eastAsia="lt-LT"/>
        </w:rPr>
        <w:t xml:space="preserve">The project and project activities may not have been financed or be financed, or, having granted financing, submitted for financing from other </w:t>
      </w:r>
      <w:r w:rsidR="00CC7FC6" w:rsidRPr="00106894">
        <w:rPr>
          <w:rFonts w:ascii="Times New Roman" w:eastAsia="Times New Roman" w:hAnsi="Times New Roman" w:cs="Times New Roman"/>
          <w:sz w:val="24"/>
          <w:szCs w:val="24"/>
          <w:lang w:val="en-GB" w:eastAsia="lt-LT"/>
        </w:rPr>
        <w:t>P</w:t>
      </w:r>
      <w:r w:rsidRPr="00106894">
        <w:rPr>
          <w:rFonts w:ascii="Times New Roman" w:eastAsia="Times New Roman" w:hAnsi="Times New Roman" w:cs="Times New Roman"/>
          <w:sz w:val="24"/>
          <w:szCs w:val="24"/>
          <w:lang w:val="en-GB" w:eastAsia="lt-LT"/>
        </w:rPr>
        <w:t xml:space="preserve">rogrammes (already after the financing has been granted) financed from state budget funds, other funds or financial mechanisms (European Union Structural Funds, the Swiss Confederation, etc.) and other EEA Financial Mechanism </w:t>
      </w:r>
      <w:r w:rsidR="00CC7FC6" w:rsidRPr="00106894">
        <w:rPr>
          <w:rFonts w:ascii="Times New Roman" w:eastAsia="Times New Roman" w:hAnsi="Times New Roman" w:cs="Times New Roman"/>
          <w:sz w:val="24"/>
          <w:szCs w:val="24"/>
          <w:lang w:val="en-GB" w:eastAsia="lt-LT"/>
        </w:rPr>
        <w:t>P</w:t>
      </w:r>
      <w:r w:rsidRPr="00106894">
        <w:rPr>
          <w:rFonts w:ascii="Times New Roman" w:eastAsia="Times New Roman" w:hAnsi="Times New Roman" w:cs="Times New Roman"/>
          <w:sz w:val="24"/>
          <w:szCs w:val="24"/>
          <w:lang w:val="en-GB" w:eastAsia="lt-LT"/>
        </w:rPr>
        <w:t xml:space="preserve">rogrammes, if this may lead to eligible costs of the project or a part thereof being financed several times, including de </w:t>
      </w:r>
      <w:proofErr w:type="spellStart"/>
      <w:r w:rsidRPr="00106894">
        <w:rPr>
          <w:rFonts w:ascii="Times New Roman" w:eastAsia="Times New Roman" w:hAnsi="Times New Roman" w:cs="Times New Roman"/>
          <w:sz w:val="24"/>
          <w:szCs w:val="24"/>
          <w:lang w:val="en-GB" w:eastAsia="lt-LT"/>
        </w:rPr>
        <w:t>minimis</w:t>
      </w:r>
      <w:proofErr w:type="spellEnd"/>
      <w:r w:rsidRPr="00106894">
        <w:rPr>
          <w:rFonts w:ascii="Times New Roman" w:eastAsia="Times New Roman" w:hAnsi="Times New Roman" w:cs="Times New Roman"/>
          <w:sz w:val="24"/>
          <w:szCs w:val="24"/>
          <w:lang w:val="en-GB" w:eastAsia="lt-LT"/>
        </w:rPr>
        <w:t xml:space="preserve"> aid.</w:t>
      </w:r>
    </w:p>
    <w:p w14:paraId="4CBD5FB1" w14:textId="372EF370" w:rsidR="00A27AF6" w:rsidRPr="00106894" w:rsidRDefault="00406A6E"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bookmarkStart w:id="7" w:name="_Hlk60979601"/>
      <w:bookmarkEnd w:id="6"/>
      <w:r w:rsidRPr="00106894">
        <w:rPr>
          <w:rFonts w:ascii="Times New Roman" w:eastAsia="Times New Roman" w:hAnsi="Times New Roman" w:cs="Times New Roman"/>
          <w:sz w:val="24"/>
          <w:szCs w:val="24"/>
          <w:lang w:val="en-GB" w:eastAsia="lt-LT"/>
        </w:rPr>
        <w:t>Calculation (substantiation) of project costs shall be submitted along with the planned project budget.</w:t>
      </w:r>
      <w:r w:rsidR="002826C8" w:rsidRPr="00106894">
        <w:rPr>
          <w:rFonts w:ascii="Times New Roman" w:eastAsia="Times New Roman" w:hAnsi="Times New Roman" w:cs="Times New Roman"/>
          <w:sz w:val="24"/>
          <w:szCs w:val="24"/>
          <w:lang w:val="en-GB" w:eastAsia="lt-LT"/>
        </w:rPr>
        <w:t xml:space="preserve"> </w:t>
      </w:r>
      <w:r w:rsidRPr="00106894">
        <w:rPr>
          <w:rFonts w:ascii="Times New Roman" w:eastAsia="Times New Roman" w:hAnsi="Times New Roman" w:cs="Times New Roman"/>
          <w:sz w:val="24"/>
          <w:szCs w:val="24"/>
          <w:lang w:val="en-GB" w:eastAsia="lt-LT"/>
        </w:rPr>
        <w:t>In cases where costs will be incurred in connection with public procurement (except for costs t</w:t>
      </w:r>
      <w:r w:rsidR="00D0054D" w:rsidRPr="00106894">
        <w:rPr>
          <w:rFonts w:ascii="Times New Roman" w:eastAsia="Times New Roman" w:hAnsi="Times New Roman" w:cs="Times New Roman"/>
          <w:sz w:val="24"/>
          <w:szCs w:val="24"/>
          <w:lang w:val="en-GB" w:eastAsia="lt-LT"/>
        </w:rPr>
        <w:t xml:space="preserve">hat will </w:t>
      </w:r>
      <w:r w:rsidRPr="00106894">
        <w:rPr>
          <w:rFonts w:ascii="Times New Roman" w:eastAsia="Times New Roman" w:hAnsi="Times New Roman" w:cs="Times New Roman"/>
          <w:sz w:val="24"/>
          <w:szCs w:val="24"/>
          <w:lang w:val="en-GB" w:eastAsia="lt-LT"/>
        </w:rPr>
        <w:t>be declared and paid in a simplified procedure), the planned costs shall be based on the conducted market research. The recommended market research summary form and explanations for its co</w:t>
      </w:r>
      <w:r w:rsidR="00D509C4">
        <w:rPr>
          <w:rFonts w:ascii="Times New Roman" w:eastAsia="Times New Roman" w:hAnsi="Times New Roman" w:cs="Times New Roman"/>
          <w:sz w:val="24"/>
          <w:szCs w:val="24"/>
          <w:lang w:val="en-GB" w:eastAsia="lt-LT"/>
        </w:rPr>
        <w:t>mpletion are provided in Annex 10</w:t>
      </w:r>
      <w:r w:rsidRPr="00106894">
        <w:rPr>
          <w:rFonts w:ascii="Times New Roman" w:eastAsia="Times New Roman" w:hAnsi="Times New Roman" w:cs="Times New Roman"/>
          <w:sz w:val="24"/>
          <w:szCs w:val="24"/>
          <w:lang w:val="en-GB" w:eastAsia="lt-LT"/>
        </w:rPr>
        <w:t xml:space="preserve"> to the Guidelines.</w:t>
      </w:r>
      <w:bookmarkStart w:id="8" w:name="_Hlk60979676"/>
      <w:bookmarkEnd w:id="7"/>
    </w:p>
    <w:p w14:paraId="2872CDD9" w14:textId="003357D6" w:rsidR="00A27AF6" w:rsidRPr="00106894" w:rsidRDefault="00A27AF6" w:rsidP="00106894">
      <w:pPr>
        <w:pStyle w:val="ListParagraph"/>
        <w:numPr>
          <w:ilvl w:val="0"/>
          <w:numId w:val="19"/>
        </w:numPr>
        <w:tabs>
          <w:tab w:val="left" w:pos="0"/>
          <w:tab w:val="left" w:pos="142"/>
          <w:tab w:val="left" w:pos="851"/>
          <w:tab w:val="left" w:pos="993"/>
          <w:tab w:val="left" w:pos="1134"/>
        </w:tabs>
        <w:spacing w:after="0" w:line="259" w:lineRule="auto"/>
        <w:ind w:left="0" w:firstLine="567"/>
        <w:contextualSpacing w:val="0"/>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The following are the categories of eligible or ineligible costs under this Call:</w:t>
      </w:r>
      <w:bookmarkStart w:id="9" w:name="part_8bfd4ba4024f4ac1b6965ef853c6d2bf"/>
      <w:bookmarkEnd w:id="9"/>
    </w:p>
    <w:bookmarkEnd w:id="8"/>
    <w:p w14:paraId="2AC8C428" w14:textId="180CF6ED" w:rsidR="00694A5D" w:rsidRPr="00106894" w:rsidRDefault="00694A5D" w:rsidP="00E416B8">
      <w:pPr>
        <w:spacing w:after="120" w:line="240" w:lineRule="auto"/>
        <w:jc w:val="both"/>
        <w:rPr>
          <w:rFonts w:ascii="Times New Roman" w:hAnsi="Times New Roman" w:cs="Times New Roman"/>
          <w:b/>
          <w:bCs/>
          <w:sz w:val="24"/>
          <w:szCs w:val="24"/>
          <w:lang w:val="en-GB"/>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01"/>
        <w:gridCol w:w="1633"/>
        <w:gridCol w:w="7410"/>
      </w:tblGrid>
      <w:tr w:rsidR="004C1DFE" w:rsidRPr="00106894" w14:paraId="6B956DDE" w14:textId="77777777" w:rsidTr="00106894">
        <w:tc>
          <w:tcPr>
            <w:tcW w:w="8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EF742" w14:textId="77777777" w:rsidR="004C1DFE" w:rsidRPr="00106894" w:rsidRDefault="004C1DFE" w:rsidP="00106894">
            <w:pPr>
              <w:shd w:val="clear" w:color="auto" w:fill="FFFFFF"/>
              <w:spacing w:after="120" w:line="240" w:lineRule="auto"/>
              <w:ind w:left="-88" w:right="-183"/>
              <w:jc w:val="both"/>
              <w:rPr>
                <w:rFonts w:ascii="Times New Roman" w:eastAsia="Times New Roman" w:hAnsi="Times New Roman" w:cs="Times New Roman"/>
                <w:b/>
                <w:bCs/>
                <w:sz w:val="20"/>
                <w:szCs w:val="20"/>
                <w:lang w:val="en-GB" w:eastAsia="lt-LT"/>
              </w:rPr>
            </w:pPr>
            <w:r w:rsidRPr="00106894">
              <w:rPr>
                <w:rFonts w:ascii="Times New Roman" w:eastAsia="Times New Roman" w:hAnsi="Times New Roman" w:cs="Times New Roman"/>
                <w:b/>
                <w:bCs/>
                <w:sz w:val="20"/>
                <w:szCs w:val="20"/>
                <w:lang w:val="en-GB" w:eastAsia="lt-LT"/>
              </w:rPr>
              <w:t>Cost category No.</w:t>
            </w:r>
          </w:p>
        </w:tc>
        <w:tc>
          <w:tcPr>
            <w:tcW w:w="1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D06B2F" w14:textId="77777777" w:rsidR="004C1DFE" w:rsidRPr="00106894" w:rsidRDefault="004C1DFE" w:rsidP="00862F32">
            <w:pPr>
              <w:shd w:val="clear" w:color="auto" w:fill="FFFFFF"/>
              <w:spacing w:after="120" w:line="240" w:lineRule="auto"/>
              <w:ind w:right="-57"/>
              <w:jc w:val="center"/>
              <w:rPr>
                <w:rFonts w:ascii="Times New Roman" w:eastAsia="Times New Roman" w:hAnsi="Times New Roman" w:cs="Times New Roman"/>
                <w:b/>
                <w:bCs/>
                <w:sz w:val="20"/>
                <w:szCs w:val="20"/>
                <w:lang w:val="en-GB" w:eastAsia="lt-LT"/>
              </w:rPr>
            </w:pPr>
            <w:r w:rsidRPr="00106894">
              <w:rPr>
                <w:rFonts w:ascii="Times New Roman" w:eastAsia="Times New Roman" w:hAnsi="Times New Roman" w:cs="Times New Roman"/>
                <w:b/>
                <w:bCs/>
                <w:sz w:val="20"/>
                <w:szCs w:val="20"/>
                <w:lang w:val="en-GB" w:eastAsia="lt-LT"/>
              </w:rPr>
              <w:t>Cost category name</w:t>
            </w:r>
          </w:p>
        </w:tc>
        <w:tc>
          <w:tcPr>
            <w:tcW w:w="7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C9324" w14:textId="77777777" w:rsidR="004C1DFE" w:rsidRPr="00106894" w:rsidRDefault="004C1DFE" w:rsidP="00106894">
            <w:pPr>
              <w:shd w:val="clear" w:color="auto" w:fill="FFFFFF"/>
              <w:spacing w:after="120" w:line="240" w:lineRule="auto"/>
              <w:ind w:left="-150" w:right="-57"/>
              <w:jc w:val="center"/>
              <w:rPr>
                <w:rFonts w:ascii="Times New Roman" w:eastAsia="Times New Roman" w:hAnsi="Times New Roman" w:cs="Times New Roman"/>
                <w:b/>
                <w:bCs/>
                <w:sz w:val="24"/>
                <w:szCs w:val="24"/>
                <w:lang w:val="en-GB" w:eastAsia="lt-LT"/>
              </w:rPr>
            </w:pPr>
            <w:r w:rsidRPr="00106894">
              <w:rPr>
                <w:rFonts w:ascii="Times New Roman" w:eastAsia="Times New Roman" w:hAnsi="Times New Roman" w:cs="Times New Roman"/>
                <w:b/>
                <w:bCs/>
                <w:sz w:val="24"/>
                <w:szCs w:val="24"/>
                <w:lang w:val="en-GB" w:eastAsia="lt-LT"/>
              </w:rPr>
              <w:t>Requirements and explanations</w:t>
            </w:r>
          </w:p>
        </w:tc>
      </w:tr>
      <w:tr w:rsidR="004C1DFE" w:rsidRPr="00106894" w14:paraId="7569EB51" w14:textId="77777777" w:rsidTr="00106894">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EA4DAC7" w14:textId="7DA14C44" w:rsidR="004C1DFE" w:rsidRPr="00106894" w:rsidRDefault="004C1DFE" w:rsidP="00862F32">
            <w:pPr>
              <w:shd w:val="clear" w:color="auto" w:fill="FFFFFF"/>
              <w:spacing w:after="120" w:line="240" w:lineRule="auto"/>
              <w:ind w:left="567" w:right="-57"/>
              <w:jc w:val="center"/>
              <w:rPr>
                <w:rFonts w:ascii="Times New Roman" w:eastAsia="Times New Roman" w:hAnsi="Times New Roman" w:cs="Times New Roman"/>
                <w:b/>
                <w:bCs/>
                <w:sz w:val="24"/>
                <w:szCs w:val="24"/>
                <w:lang w:val="en-GB" w:eastAsia="lt-LT"/>
              </w:rPr>
            </w:pPr>
            <w:r w:rsidRPr="00106894">
              <w:rPr>
                <w:rFonts w:ascii="Times New Roman" w:eastAsia="Times New Roman" w:hAnsi="Times New Roman" w:cs="Times New Roman"/>
                <w:b/>
                <w:bCs/>
                <w:sz w:val="24"/>
                <w:szCs w:val="24"/>
                <w:lang w:val="en-GB" w:eastAsia="lt-LT"/>
              </w:rPr>
              <w:t xml:space="preserve">Direct costs of the project </w:t>
            </w:r>
          </w:p>
        </w:tc>
      </w:tr>
      <w:tr w:rsidR="004C1DFE" w:rsidRPr="00106894" w14:paraId="04861B0E"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57942" w14:textId="77777777" w:rsidR="004C1DFE" w:rsidRPr="00106894" w:rsidRDefault="004C1DFE" w:rsidP="00862F32">
            <w:pPr>
              <w:shd w:val="clear" w:color="auto" w:fill="FFFFFF"/>
              <w:spacing w:after="120" w:line="240" w:lineRule="auto"/>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1.</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9DC79" w14:textId="77777777" w:rsidR="004C1DFE" w:rsidRPr="00106894" w:rsidRDefault="004C1DFE"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Land and real estate</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C05C4" w14:textId="77777777" w:rsidR="004C1DFE" w:rsidRPr="00106894" w:rsidRDefault="004C1DFE" w:rsidP="00862F3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Ineligible.</w:t>
            </w:r>
          </w:p>
        </w:tc>
      </w:tr>
      <w:tr w:rsidR="00A00999" w:rsidRPr="00106894" w14:paraId="11D6A3BF"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517F66A" w14:textId="67EB6AA5" w:rsidR="00A00999" w:rsidRPr="00106894" w:rsidRDefault="00A00999" w:rsidP="00A00999">
            <w:pPr>
              <w:pStyle w:val="ListParagraph"/>
              <w:shd w:val="clear" w:color="auto" w:fill="FFFFFF"/>
              <w:spacing w:after="120" w:line="240" w:lineRule="auto"/>
              <w:ind w:left="360" w:hanging="306"/>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2.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552810" w14:textId="199D20D2" w:rsidR="00A00999" w:rsidRPr="00106894" w:rsidRDefault="00A00999" w:rsidP="00106894">
            <w:pPr>
              <w:shd w:val="clear" w:color="auto" w:fill="FFFFFF"/>
              <w:spacing w:after="120" w:line="240" w:lineRule="auto"/>
              <w:ind w:left="-37" w:right="-11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Contractor works (construction, reconstruction, repair and other works)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EEA256" w14:textId="78E9088B" w:rsidR="00A00999" w:rsidRPr="00106894" w:rsidRDefault="00A00999" w:rsidP="00862F32">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Costs relating to simple repairs of the premises intended for the rooms to be used for the service provision of Well-being </w:t>
            </w:r>
            <w:r w:rsidR="00511355">
              <w:rPr>
                <w:rFonts w:ascii="Times New Roman" w:eastAsia="Times New Roman" w:hAnsi="Times New Roman" w:cs="Times New Roman"/>
                <w:sz w:val="24"/>
                <w:szCs w:val="24"/>
                <w:lang w:val="en-GB" w:eastAsia="lt-LT"/>
              </w:rPr>
              <w:t>Adviser</w:t>
            </w:r>
            <w:r w:rsidRPr="00106894">
              <w:rPr>
                <w:rFonts w:ascii="Times New Roman" w:eastAsia="Times New Roman" w:hAnsi="Times New Roman" w:cs="Times New Roman"/>
                <w:sz w:val="24"/>
                <w:szCs w:val="24"/>
                <w:lang w:val="en-GB" w:eastAsia="lt-LT"/>
              </w:rPr>
              <w:t xml:space="preserve">s (without reconstruction or major overhaul) can be financed. Costs on simple repairs may not exceed </w:t>
            </w:r>
            <w:r w:rsidR="00D509C4">
              <w:rPr>
                <w:rFonts w:ascii="Times New Roman" w:eastAsia="Times New Roman" w:hAnsi="Times New Roman" w:cs="Times New Roman"/>
                <w:sz w:val="24"/>
                <w:szCs w:val="24"/>
                <w:lang w:val="en-GB" w:eastAsia="lt-LT"/>
              </w:rPr>
              <w:t>15</w:t>
            </w:r>
            <w:r w:rsidRPr="00106894">
              <w:rPr>
                <w:rFonts w:ascii="Times New Roman" w:eastAsia="Times New Roman" w:hAnsi="Times New Roman" w:cs="Times New Roman"/>
                <w:sz w:val="24"/>
                <w:szCs w:val="24"/>
                <w:lang w:val="en-GB" w:eastAsia="lt-LT"/>
              </w:rPr>
              <w:t xml:space="preserve"> percent eligible project costs.</w:t>
            </w:r>
          </w:p>
        </w:tc>
      </w:tr>
      <w:tr w:rsidR="00A00999" w:rsidRPr="00106894" w14:paraId="028628BE"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F67C82" w14:textId="6BA34EF8" w:rsidR="00A00999" w:rsidRPr="00106894" w:rsidRDefault="00A00999" w:rsidP="00707910">
            <w:pPr>
              <w:pStyle w:val="ListParagraph"/>
              <w:numPr>
                <w:ilvl w:val="0"/>
                <w:numId w:val="5"/>
              </w:numPr>
              <w:shd w:val="clear" w:color="auto" w:fill="FFFFFF"/>
              <w:spacing w:after="120" w:line="240" w:lineRule="auto"/>
              <w:rPr>
                <w:rFonts w:ascii="Times New Roman" w:eastAsia="Times New Roman" w:hAnsi="Times New Roman" w:cs="Times New Roman"/>
                <w:sz w:val="24"/>
                <w:szCs w:val="24"/>
                <w:lang w:val="en-GB" w:eastAsia="lt-LT"/>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134809" w14:textId="74C63CD4" w:rsidR="00A00999" w:rsidRPr="00106894" w:rsidRDefault="00707910"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Non-current assets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452A0" w14:textId="6C4AA20C" w:rsidR="00A00999" w:rsidRPr="00106894" w:rsidRDefault="00A00999" w:rsidP="00862F32">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Costs of depreciation of new or used equipment or devices (hereinafter all together referred to as equipment), necessary for the implementation of the project (to equip a place of </w:t>
            </w:r>
            <w:r w:rsidRPr="00106894">
              <w:rPr>
                <w:rFonts w:ascii="Times New Roman" w:eastAsia="Times New Roman" w:hAnsi="Times New Roman" w:cs="Times New Roman"/>
                <w:sz w:val="24"/>
                <w:szCs w:val="24"/>
                <w:lang w:val="en-GB" w:eastAsia="lt-LT"/>
              </w:rPr>
              <w:t xml:space="preserve">the service provision of Well-being </w:t>
            </w:r>
            <w:r w:rsidR="00511355">
              <w:rPr>
                <w:rFonts w:ascii="Times New Roman" w:eastAsia="Times New Roman" w:hAnsi="Times New Roman" w:cs="Times New Roman"/>
                <w:sz w:val="24"/>
                <w:szCs w:val="24"/>
                <w:lang w:val="en-GB" w:eastAsia="lt-LT"/>
              </w:rPr>
              <w:t>Adviser</w:t>
            </w:r>
            <w:r w:rsidRPr="00106894">
              <w:rPr>
                <w:rFonts w:ascii="Times New Roman" w:eastAsia="Times New Roman" w:hAnsi="Times New Roman" w:cs="Times New Roman"/>
                <w:sz w:val="24"/>
                <w:szCs w:val="24"/>
                <w:lang w:val="en-GB" w:eastAsia="lt-LT"/>
              </w:rPr>
              <w:t>s),</w:t>
            </w:r>
            <w:r w:rsidRPr="00106894">
              <w:rPr>
                <w:rFonts w:ascii="Times New Roman" w:eastAsia="Calibri" w:hAnsi="Times New Roman" w:cs="Times New Roman"/>
                <w:sz w:val="24"/>
                <w:szCs w:val="24"/>
                <w:lang w:val="en-GB"/>
              </w:rPr>
              <w:t xml:space="preserve"> achievement of the project objectives and indicators, and project administration and publication, used in the project falling within the period of project implementation, provided that equipment is depreciated according to generally accepted accounting principles which the Project Promoter or Partner, or similar equipment in general, is subject to.</w:t>
            </w:r>
          </w:p>
          <w:p w14:paraId="04DA978B" w14:textId="59FF8AAF" w:rsidR="005C5272" w:rsidRPr="00106894" w:rsidRDefault="005C5272" w:rsidP="005C5272">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If the equipment is an integral and necessary component for achieving the outcomes of the project, the entire purchase price of that equipment may be recognized as eligible costs (this shall not apply to project administration and publicity).</w:t>
            </w:r>
            <w:r w:rsidR="000445CC" w:rsidRPr="00106894">
              <w:rPr>
                <w:rFonts w:ascii="Times New Roman" w:eastAsia="Calibri" w:hAnsi="Times New Roman" w:cs="Times New Roman"/>
                <w:sz w:val="24"/>
                <w:szCs w:val="24"/>
                <w:lang w:val="en-GB"/>
              </w:rPr>
              <w:t xml:space="preserve"> I</w:t>
            </w:r>
            <w:r w:rsidRPr="00106894">
              <w:rPr>
                <w:rFonts w:ascii="Times New Roman" w:eastAsia="Calibri" w:hAnsi="Times New Roman" w:cs="Times New Roman"/>
                <w:sz w:val="24"/>
                <w:szCs w:val="24"/>
                <w:lang w:val="en-GB"/>
              </w:rPr>
              <w:t xml:space="preserve">n such a case, it must be ensured that the Project Promoter keeps the equipment in its ownership for a period of at least five years </w:t>
            </w:r>
            <w:r w:rsidRPr="00106894">
              <w:rPr>
                <w:rFonts w:ascii="Times New Roman" w:eastAsia="Calibri" w:hAnsi="Times New Roman" w:cs="Times New Roman"/>
                <w:sz w:val="24"/>
                <w:szCs w:val="24"/>
                <w:lang w:val="en-GB"/>
              </w:rPr>
              <w:lastRenderedPageBreak/>
              <w:t>following the completion of the project and will use the equipment for the project objectives, will keep the equipment properly insured against losses such as fire, theft or other normally insurable incidents both during project implementation and for at least five years following the completion of the project, ensures proper equipment maintenance at least 5 years after the end of the project, unless the project contract establishes otherwise (insurance costs during the lifetime of the project may be eligible project fund</w:t>
            </w:r>
            <w:r w:rsidR="000445CC" w:rsidRPr="00106894">
              <w:rPr>
                <w:rFonts w:ascii="Times New Roman" w:eastAsia="Calibri" w:hAnsi="Times New Roman" w:cs="Times New Roman"/>
                <w:sz w:val="24"/>
                <w:szCs w:val="24"/>
                <w:lang w:val="en-GB"/>
              </w:rPr>
              <w:t>s</w:t>
            </w:r>
            <w:r w:rsidRPr="00106894">
              <w:rPr>
                <w:rFonts w:ascii="Times New Roman" w:eastAsia="Calibri" w:hAnsi="Times New Roman" w:cs="Times New Roman"/>
                <w:sz w:val="24"/>
                <w:szCs w:val="24"/>
                <w:lang w:val="en-GB"/>
              </w:rPr>
              <w:t xml:space="preserve">). Where a Partner purchases equipment, the Project Promoter shall ensure that the Partner abides by the above provisions. </w:t>
            </w:r>
          </w:p>
          <w:p w14:paraId="0DDD9909" w14:textId="77777777" w:rsidR="009B3A56" w:rsidRPr="00106894" w:rsidRDefault="009B3A56" w:rsidP="002A7A5F">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Movable tangible property used directly in carrying out project activities, the cost of acquisition of which is EUR 1 000 and more (irrespective of the value at which the Project Promoter or the Partner classifies the acquired assets as non-current assets according to their accounting policy), </w:t>
            </w:r>
            <w:r w:rsidR="002A7A5F" w:rsidRPr="00106894">
              <w:rPr>
                <w:rFonts w:ascii="Times New Roman" w:eastAsia="Calibri" w:hAnsi="Times New Roman" w:cs="Times New Roman"/>
                <w:sz w:val="24"/>
                <w:szCs w:val="24"/>
                <w:lang w:val="en-GB"/>
              </w:rPr>
              <w:t>s</w:t>
            </w:r>
            <w:r w:rsidRPr="00106894">
              <w:rPr>
                <w:rFonts w:ascii="Times New Roman" w:eastAsia="Calibri" w:hAnsi="Times New Roman" w:cs="Times New Roman"/>
                <w:sz w:val="24"/>
                <w:szCs w:val="24"/>
                <w:lang w:val="en-GB"/>
              </w:rPr>
              <w:t>uch as movable or stationary objects, when the following conditions are met, shall be considered equipment: the useful life of assets is more than one year when used for their intended purpose</w:t>
            </w:r>
            <w:r w:rsidR="002A7A5F"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the assets used retain their original form and appearance; when in case of damage of assets, a loss or depreciation of parts thereof fixing the assets than replacing them with new ones is more expedient; assets do not lose their identity (ability to perform functions) even when integrated into another more complex unit.</w:t>
            </w:r>
          </w:p>
          <w:p w14:paraId="7D7870AE" w14:textId="77777777" w:rsidR="00F25823" w:rsidRPr="00106894" w:rsidRDefault="00F25823" w:rsidP="00F25823">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In cases when it may or is used for other than the project’s purposes, costs of depreciation or acquisition of the equipment (if applicable) shall be financed in application of the </w:t>
            </w:r>
            <w:r w:rsidRPr="00106894">
              <w:rPr>
                <w:rFonts w:ascii="Times New Roman" w:eastAsia="Calibri" w:hAnsi="Times New Roman" w:cs="Times New Roman"/>
                <w:i/>
                <w:iCs/>
                <w:sz w:val="24"/>
                <w:szCs w:val="24"/>
                <w:lang w:val="en-GB"/>
              </w:rPr>
              <w:t>pro-rata</w:t>
            </w:r>
            <w:r w:rsidRPr="00106894">
              <w:rPr>
                <w:rFonts w:ascii="Times New Roman" w:eastAsia="Calibri" w:hAnsi="Times New Roman" w:cs="Times New Roman"/>
                <w:sz w:val="24"/>
                <w:szCs w:val="24"/>
                <w:lang w:val="en-GB"/>
              </w:rPr>
              <w:t xml:space="preserve"> principle (taking into account the proportion of the use of equipment for project and other purposes).</w:t>
            </w:r>
          </w:p>
          <w:p w14:paraId="44BF860B" w14:textId="09EA969E" w:rsidR="00F25823" w:rsidRPr="00106894" w:rsidRDefault="00F25823" w:rsidP="00F25823">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Calibri" w:hAnsi="Times New Roman" w:cs="Times New Roman"/>
                <w:sz w:val="24"/>
                <w:szCs w:val="24"/>
                <w:lang w:val="en-GB"/>
              </w:rPr>
              <w:t>Costs fo</w:t>
            </w:r>
            <w:r w:rsidR="00D509C4">
              <w:rPr>
                <w:rFonts w:ascii="Times New Roman" w:eastAsia="Calibri" w:hAnsi="Times New Roman" w:cs="Times New Roman"/>
                <w:sz w:val="24"/>
                <w:szCs w:val="24"/>
                <w:lang w:val="en-GB"/>
              </w:rPr>
              <w:t>r fixed assets may not exceed 15</w:t>
            </w:r>
            <w:r w:rsidRPr="00106894">
              <w:rPr>
                <w:rFonts w:ascii="Times New Roman" w:eastAsia="Calibri" w:hAnsi="Times New Roman" w:cs="Times New Roman"/>
                <w:sz w:val="24"/>
                <w:szCs w:val="24"/>
                <w:lang w:val="en-GB"/>
              </w:rPr>
              <w:t xml:space="preserve"> percent of eligible project costs.</w:t>
            </w:r>
          </w:p>
        </w:tc>
      </w:tr>
      <w:tr w:rsidR="00F25823" w:rsidRPr="00106894" w14:paraId="69871B11"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533D56" w14:textId="77B6FE0D" w:rsidR="00F25823" w:rsidRPr="00106894" w:rsidRDefault="00F25823" w:rsidP="00F25823">
            <w:pPr>
              <w:pStyle w:val="ListParagraph"/>
              <w:ind w:left="360" w:hanging="360"/>
              <w:rPr>
                <w:rFonts w:ascii="Times New Roman" w:eastAsia="Times New Roman" w:hAnsi="Times New Roman" w:cs="Times New Roman"/>
                <w:sz w:val="24"/>
                <w:szCs w:val="24"/>
                <w:lang w:val="en-GB" w:eastAsia="lt-LT"/>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A255C8" w14:textId="77777777" w:rsidR="004F2F37" w:rsidRPr="00106894" w:rsidRDefault="004F2F37" w:rsidP="00862F32">
            <w:pPr>
              <w:shd w:val="clear" w:color="auto" w:fill="FFFFFF"/>
              <w:spacing w:after="120" w:line="240" w:lineRule="auto"/>
              <w:ind w:left="34"/>
              <w:rPr>
                <w:rFonts w:ascii="Times New Roman" w:eastAsia="Times New Roman" w:hAnsi="Times New Roman" w:cs="Times New Roman"/>
                <w:sz w:val="24"/>
                <w:szCs w:val="24"/>
                <w:lang w:val="en-GB" w:eastAsia="lt-LT"/>
              </w:rPr>
            </w:pPr>
          </w:p>
          <w:p w14:paraId="386512BD" w14:textId="62D41E7C" w:rsidR="00F25823" w:rsidRPr="00106894" w:rsidRDefault="004F2F37"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Goods (current assets) and services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5CBE35" w14:textId="0CAD7730" w:rsidR="004F2F37" w:rsidRPr="00106894" w:rsidRDefault="004F2F37" w:rsidP="004F2F3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Costs of acquisition of goods and services necessary for the implementation of the project, the achievement of goals and indicators of the project, and project administration and publicity</w:t>
            </w:r>
            <w:r w:rsidR="00A4760A" w:rsidRPr="00106894">
              <w:rPr>
                <w:rFonts w:ascii="Times New Roman" w:eastAsia="Calibri" w:hAnsi="Times New Roman" w:cs="Times New Roman"/>
                <w:sz w:val="24"/>
                <w:szCs w:val="24"/>
                <w:lang w:val="en-GB"/>
              </w:rPr>
              <w:t xml:space="preserve"> can be financed</w:t>
            </w:r>
            <w:r w:rsidRPr="00106894">
              <w:rPr>
                <w:rFonts w:ascii="Times New Roman" w:eastAsia="Calibri" w:hAnsi="Times New Roman" w:cs="Times New Roman"/>
                <w:sz w:val="24"/>
                <w:szCs w:val="24"/>
                <w:lang w:val="en-GB"/>
              </w:rPr>
              <w:t>.</w:t>
            </w:r>
          </w:p>
          <w:p w14:paraId="188CB84D" w14:textId="05367F12" w:rsidR="00F25823" w:rsidRPr="00106894" w:rsidRDefault="004F2F37" w:rsidP="00862F32">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hAnsi="Times New Roman" w:cs="Times New Roman"/>
                <w:sz w:val="24"/>
                <w:szCs w:val="24"/>
                <w:lang w:val="en-GB"/>
              </w:rPr>
              <w:t xml:space="preserve">In cases where they may or are </w:t>
            </w:r>
            <w:r w:rsidRPr="00106894">
              <w:rPr>
                <w:rFonts w:ascii="Times New Roman" w:eastAsia="Calibri" w:hAnsi="Times New Roman" w:cs="Times New Roman"/>
                <w:sz w:val="24"/>
                <w:szCs w:val="24"/>
                <w:lang w:val="en-GB"/>
              </w:rPr>
              <w:t xml:space="preserve">used for other than the project’s purposes, the costs of acquisition of goods from the project’s funds shall be financed in application of the </w:t>
            </w:r>
            <w:r w:rsidRPr="00106894">
              <w:rPr>
                <w:rFonts w:ascii="Times New Roman" w:eastAsia="Calibri" w:hAnsi="Times New Roman" w:cs="Times New Roman"/>
                <w:i/>
                <w:iCs/>
                <w:sz w:val="24"/>
                <w:szCs w:val="24"/>
                <w:lang w:val="en-GB"/>
              </w:rPr>
              <w:t>pro-rata</w:t>
            </w:r>
            <w:r w:rsidRPr="00106894">
              <w:rPr>
                <w:rFonts w:ascii="Times New Roman" w:eastAsia="Calibri" w:hAnsi="Times New Roman" w:cs="Times New Roman"/>
                <w:sz w:val="24"/>
                <w:szCs w:val="24"/>
                <w:lang w:val="en-GB"/>
              </w:rPr>
              <w:t xml:space="preserve"> principle (taking into account the proportion of the use of equipment for project and other purposes</w:t>
            </w:r>
            <w:r w:rsidRPr="00106894">
              <w:rPr>
                <w:rFonts w:ascii="Times New Roman" w:hAnsi="Times New Roman" w:cs="Times New Roman"/>
                <w:sz w:val="24"/>
                <w:szCs w:val="24"/>
                <w:lang w:val="en-GB"/>
              </w:rPr>
              <w:t>).</w:t>
            </w:r>
          </w:p>
        </w:tc>
      </w:tr>
      <w:tr w:rsidR="00FD7553" w:rsidRPr="00106894" w14:paraId="55145E9C"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3768DC" w14:textId="4F6D3DDF" w:rsidR="00FD7553" w:rsidRPr="00106894" w:rsidRDefault="00234EE8" w:rsidP="00862F32">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5.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831489" w14:textId="4DF8C555" w:rsidR="00FD7553" w:rsidRPr="00106894" w:rsidRDefault="00234EE8"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Business trips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1DD817" w14:textId="727ADAAE" w:rsidR="001E0848" w:rsidRPr="00106894" w:rsidRDefault="001F56B8" w:rsidP="001E0848">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Costs of traveling and business trips of employees (Well-being </w:t>
            </w:r>
            <w:r w:rsidR="00511355">
              <w:rPr>
                <w:rFonts w:ascii="Times New Roman" w:eastAsia="Calibri" w:hAnsi="Times New Roman" w:cs="Times New Roman"/>
                <w:sz w:val="24"/>
                <w:szCs w:val="24"/>
                <w:lang w:val="en-GB"/>
              </w:rPr>
              <w:t>Adviser</w:t>
            </w:r>
            <w:r w:rsidRPr="00106894">
              <w:rPr>
                <w:rFonts w:ascii="Times New Roman" w:eastAsia="Calibri" w:hAnsi="Times New Roman" w:cs="Times New Roman"/>
                <w:sz w:val="24"/>
                <w:szCs w:val="24"/>
                <w:lang w:val="en-GB"/>
              </w:rPr>
              <w:t>s</w:t>
            </w:r>
            <w:r w:rsidR="001E0848" w:rsidRPr="00106894">
              <w:rPr>
                <w:rFonts w:ascii="Times New Roman" w:eastAsia="Calibri" w:hAnsi="Times New Roman" w:cs="Times New Roman"/>
                <w:sz w:val="24"/>
                <w:szCs w:val="24"/>
                <w:lang w:val="en-GB"/>
              </w:rPr>
              <w:t>)</w:t>
            </w:r>
            <w:r w:rsidRPr="00106894">
              <w:rPr>
                <w:rFonts w:ascii="Times New Roman" w:eastAsia="Calibri" w:hAnsi="Times New Roman" w:cs="Times New Roman"/>
                <w:sz w:val="24"/>
                <w:szCs w:val="24"/>
                <w:lang w:val="en-GB"/>
              </w:rPr>
              <w:t xml:space="preserve"> carrying out </w:t>
            </w:r>
            <w:r w:rsidR="001E0848" w:rsidRPr="00106894">
              <w:rPr>
                <w:rFonts w:ascii="Times New Roman" w:eastAsia="Calibri" w:hAnsi="Times New Roman" w:cs="Times New Roman"/>
                <w:sz w:val="24"/>
                <w:szCs w:val="24"/>
                <w:lang w:val="en-GB"/>
              </w:rPr>
              <w:t>the</w:t>
            </w:r>
            <w:r w:rsidRPr="00106894">
              <w:rPr>
                <w:rFonts w:ascii="Times New Roman" w:eastAsia="Calibri" w:hAnsi="Times New Roman" w:cs="Times New Roman"/>
                <w:sz w:val="24"/>
                <w:szCs w:val="24"/>
                <w:lang w:val="en-GB"/>
              </w:rPr>
              <w:t xml:space="preserve"> project activities</w:t>
            </w:r>
            <w:r w:rsidR="001E0848" w:rsidRPr="00106894">
              <w:rPr>
                <w:rFonts w:ascii="Times New Roman" w:eastAsia="Calibri" w:hAnsi="Times New Roman" w:cs="Times New Roman"/>
                <w:sz w:val="24"/>
                <w:szCs w:val="24"/>
                <w:lang w:val="en-GB"/>
              </w:rPr>
              <w:t xml:space="preserve"> in participation in the training program for Well-being </w:t>
            </w:r>
            <w:r w:rsidR="00511355">
              <w:rPr>
                <w:rFonts w:ascii="Times New Roman" w:eastAsia="Calibri" w:hAnsi="Times New Roman" w:cs="Times New Roman"/>
                <w:sz w:val="24"/>
                <w:szCs w:val="24"/>
                <w:lang w:val="en-GB"/>
              </w:rPr>
              <w:t>Adviser</w:t>
            </w:r>
            <w:r w:rsidR="001E0848" w:rsidRPr="00106894">
              <w:rPr>
                <w:rFonts w:ascii="Times New Roman" w:eastAsia="Calibri" w:hAnsi="Times New Roman" w:cs="Times New Roman"/>
                <w:sz w:val="24"/>
                <w:szCs w:val="24"/>
                <w:lang w:val="en-GB"/>
              </w:rPr>
              <w:t xml:space="preserve">s, including daily subsistence allowance, can be financed. </w:t>
            </w:r>
          </w:p>
          <w:p w14:paraId="21437845" w14:textId="7E6E3D5C" w:rsidR="009C312E" w:rsidRPr="00106894" w:rsidRDefault="00107B5B" w:rsidP="00234EE8">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w:t>
            </w:r>
            <w:r w:rsidR="009C312E" w:rsidRPr="00106894">
              <w:rPr>
                <w:rFonts w:ascii="Times New Roman" w:eastAsia="Calibri" w:hAnsi="Times New Roman" w:cs="Times New Roman"/>
                <w:sz w:val="24"/>
                <w:szCs w:val="24"/>
                <w:lang w:val="en-GB"/>
              </w:rPr>
              <w:t xml:space="preserve">t should be noted that </w:t>
            </w:r>
            <w:r w:rsidR="007468FE" w:rsidRPr="00106894">
              <w:rPr>
                <w:rFonts w:ascii="Times New Roman" w:eastAsia="Calibri" w:hAnsi="Times New Roman" w:cs="Times New Roman"/>
                <w:sz w:val="24"/>
                <w:szCs w:val="24"/>
                <w:lang w:val="en-GB"/>
              </w:rPr>
              <w:t xml:space="preserve">costs of accommodation of Well-being </w:t>
            </w:r>
            <w:r w:rsidR="00511355">
              <w:rPr>
                <w:rFonts w:ascii="Times New Roman" w:eastAsia="Calibri" w:hAnsi="Times New Roman" w:cs="Times New Roman"/>
                <w:sz w:val="24"/>
                <w:szCs w:val="24"/>
                <w:lang w:val="en-GB"/>
              </w:rPr>
              <w:t>Adviser</w:t>
            </w:r>
            <w:r w:rsidR="007468FE" w:rsidRPr="00106894">
              <w:rPr>
                <w:rFonts w:ascii="Times New Roman" w:eastAsia="Calibri" w:hAnsi="Times New Roman" w:cs="Times New Roman"/>
                <w:sz w:val="24"/>
                <w:szCs w:val="24"/>
                <w:lang w:val="en-GB"/>
              </w:rPr>
              <w:t>s</w:t>
            </w:r>
            <w:r w:rsidR="00337CBA" w:rsidRPr="00106894">
              <w:rPr>
                <w:rFonts w:ascii="Times New Roman" w:eastAsia="Calibri" w:hAnsi="Times New Roman" w:cs="Times New Roman"/>
                <w:sz w:val="24"/>
                <w:szCs w:val="24"/>
                <w:lang w:val="en-GB"/>
              </w:rPr>
              <w:t xml:space="preserve"> during the training program are covered by the training program organiser.</w:t>
            </w:r>
            <w:r w:rsidR="00234EE8" w:rsidRPr="00106894">
              <w:rPr>
                <w:rFonts w:ascii="Times New Roman" w:eastAsia="Calibri" w:hAnsi="Times New Roman" w:cs="Times New Roman"/>
                <w:sz w:val="24"/>
                <w:szCs w:val="24"/>
                <w:lang w:val="en-GB"/>
              </w:rPr>
              <w:t xml:space="preserve"> All Project Promoters and / or Partners from Lithuania, irrespective of their legal status, shall be subject to provisions of the Resolution No. 526 of the Government of the Republic of Lithuania of 29 April 2004 “Regarding the Payment of Daily Allowances and Compensation of Other Business Trip </w:t>
            </w:r>
            <w:r w:rsidR="00234EE8" w:rsidRPr="00106894">
              <w:rPr>
                <w:rFonts w:ascii="Times New Roman" w:eastAsia="Calibri" w:hAnsi="Times New Roman" w:cs="Times New Roman"/>
                <w:sz w:val="24"/>
                <w:szCs w:val="24"/>
                <w:lang w:val="en-GB"/>
              </w:rPr>
              <w:lastRenderedPageBreak/>
              <w:t>Expenses” (except for cases where expenses are declared and compensated in a simplified procedure).</w:t>
            </w:r>
          </w:p>
          <w:p w14:paraId="42872146" w14:textId="6E13917E" w:rsidR="00F43701" w:rsidRPr="00106894" w:rsidRDefault="00F43701" w:rsidP="000B7981">
            <w:pPr>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Tra</w:t>
            </w:r>
            <w:r w:rsidR="0043543A" w:rsidRPr="00106894">
              <w:rPr>
                <w:rFonts w:ascii="Times New Roman" w:eastAsia="Calibri" w:hAnsi="Times New Roman" w:cs="Times New Roman"/>
                <w:sz w:val="24"/>
                <w:szCs w:val="24"/>
                <w:lang w:val="en-GB"/>
              </w:rPr>
              <w:t>nsport</w:t>
            </w:r>
            <w:r w:rsidRPr="00106894">
              <w:rPr>
                <w:rFonts w:ascii="Times New Roman" w:eastAsia="Calibri" w:hAnsi="Times New Roman" w:cs="Times New Roman"/>
                <w:sz w:val="24"/>
                <w:szCs w:val="24"/>
                <w:lang w:val="en-GB"/>
              </w:rPr>
              <w:t xml:space="preserve"> expenses incurred during the business trips and traveling within the territory of the Republic of Lithuania (fuel or public transportation expenses) </w:t>
            </w:r>
            <w:r w:rsidR="004B402F" w:rsidRPr="00106894">
              <w:rPr>
                <w:rFonts w:ascii="Times New Roman" w:eastAsia="Calibri" w:hAnsi="Times New Roman" w:cs="Times New Roman"/>
                <w:sz w:val="24"/>
                <w:szCs w:val="24"/>
                <w:lang w:val="en-GB"/>
              </w:rPr>
              <w:t>will</w:t>
            </w:r>
            <w:r w:rsidRPr="00106894">
              <w:rPr>
                <w:rFonts w:ascii="Times New Roman" w:eastAsia="Calibri" w:hAnsi="Times New Roman" w:cs="Times New Roman"/>
                <w:sz w:val="24"/>
                <w:szCs w:val="24"/>
                <w:lang w:val="en-GB"/>
              </w:rPr>
              <w:t xml:space="preserve"> be declared and compensated on a simplified bases,</w:t>
            </w:r>
            <w:r w:rsidR="009C0C70"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applying the unit costs per 1 km (EUR 0.07/ km exclusive of VAT, or EUR 0.08/ km inclusive of VAT), set in the Report No. FĮ-005 on the Analysis for Setting Unit costs of Fuel and Public Transportation Expenses (edition of 24 April 2015) of the Ministry of Finance of the Republic of Lithuania, available on the website </w:t>
            </w:r>
            <w:hyperlink r:id="rId13" w:history="1">
              <w:r w:rsidRPr="00106894">
                <w:rPr>
                  <w:rFonts w:ascii="Times New Roman" w:eastAsia="Calibri" w:hAnsi="Times New Roman" w:cs="Times New Roman"/>
                  <w:sz w:val="24"/>
                  <w:szCs w:val="24"/>
                  <w:u w:val="single"/>
                  <w:lang w:val="en-GB"/>
                </w:rPr>
                <w:t>www.esinvesticijos.lt</w:t>
              </w:r>
            </w:hyperlink>
            <w:r w:rsidRPr="00106894">
              <w:rPr>
                <w:rFonts w:ascii="Times New Roman" w:eastAsia="Calibri" w:hAnsi="Times New Roman" w:cs="Times New Roman"/>
                <w:sz w:val="24"/>
                <w:szCs w:val="24"/>
                <w:lang w:val="en-GB"/>
              </w:rPr>
              <w:t xml:space="preserve"> (</w:t>
            </w:r>
            <w:r w:rsidR="009C0C70" w:rsidRPr="00106894">
              <w:rPr>
                <w:rFonts w:ascii="Times New Roman" w:eastAsia="Calibri" w:hAnsi="Times New Roman" w:cs="Times New Roman"/>
                <w:sz w:val="24"/>
                <w:szCs w:val="24"/>
                <w:lang w:val="en-GB"/>
              </w:rPr>
              <w:t xml:space="preserve">Subsection </w:t>
            </w:r>
            <w:r w:rsidRPr="00106894">
              <w:rPr>
                <w:rFonts w:ascii="Times New Roman" w:eastAsia="Calibri" w:hAnsi="Times New Roman" w:cs="Times New Roman"/>
                <w:sz w:val="24"/>
                <w:szCs w:val="24"/>
                <w:lang w:val="en-GB"/>
              </w:rPr>
              <w:t xml:space="preserve">“Analysis of Simplified Compensation of Expenses” </w:t>
            </w:r>
            <w:r w:rsidR="009C0C70" w:rsidRPr="00106894">
              <w:rPr>
                <w:rFonts w:ascii="Times New Roman" w:eastAsia="Calibri" w:hAnsi="Times New Roman" w:cs="Times New Roman"/>
                <w:sz w:val="24"/>
                <w:szCs w:val="24"/>
                <w:lang w:val="en-GB"/>
              </w:rPr>
              <w:t xml:space="preserve">of </w:t>
            </w:r>
            <w:r w:rsidRPr="00106894">
              <w:rPr>
                <w:rFonts w:ascii="Times New Roman" w:eastAsia="Calibri" w:hAnsi="Times New Roman" w:cs="Times New Roman"/>
                <w:sz w:val="24"/>
                <w:szCs w:val="24"/>
                <w:lang w:val="en-GB"/>
              </w:rPr>
              <w:t>the section “Analyses”</w:t>
            </w:r>
            <w:r w:rsidR="009C0C70" w:rsidRPr="00106894">
              <w:rPr>
                <w:rFonts w:ascii="Times New Roman" w:eastAsia="Calibri" w:hAnsi="Times New Roman" w:cs="Times New Roman"/>
                <w:sz w:val="24"/>
                <w:szCs w:val="24"/>
                <w:lang w:val="en-GB"/>
              </w:rPr>
              <w:t xml:space="preserve"> under reference “Documents”</w:t>
            </w:r>
            <w:r w:rsidRPr="00106894">
              <w:rPr>
                <w:rFonts w:ascii="Times New Roman" w:eastAsia="Calibri" w:hAnsi="Times New Roman" w:cs="Times New Roman"/>
                <w:sz w:val="24"/>
                <w:szCs w:val="24"/>
                <w:lang w:val="en-GB"/>
              </w:rPr>
              <w:t>).</w:t>
            </w:r>
            <w:r w:rsidR="00107B5B" w:rsidRPr="00106894">
              <w:rPr>
                <w:rFonts w:ascii="Times New Roman" w:eastAsia="Calibri" w:hAnsi="Times New Roman" w:cs="Times New Roman"/>
                <w:sz w:val="24"/>
                <w:szCs w:val="24"/>
                <w:lang w:val="en-GB"/>
              </w:rPr>
              <w:t xml:space="preserve"> </w:t>
            </w:r>
            <w:r w:rsidR="000B7981" w:rsidRPr="00106894">
              <w:rPr>
                <w:rFonts w:ascii="Times New Roman" w:eastAsia="Calibri" w:hAnsi="Times New Roman" w:cs="Times New Roman"/>
                <w:sz w:val="24"/>
                <w:szCs w:val="24"/>
                <w:lang w:val="en-GB"/>
              </w:rPr>
              <w:t>Simplified payment of costs applying fixed rates may not apply to the Partner from a donor country as well as to the costs of the Project Promoter and/or Partner, when costs or part of the costs included in the fixed rates are included in the price of other services.</w:t>
            </w:r>
          </w:p>
        </w:tc>
      </w:tr>
      <w:tr w:rsidR="00B13E4F" w:rsidRPr="00106894" w14:paraId="2C6E6935"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664A3EB" w14:textId="77777777"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p>
          <w:p w14:paraId="71121BBF" w14:textId="77777777"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p>
          <w:p w14:paraId="632D7801" w14:textId="303D276C" w:rsidR="00B13E4F" w:rsidRPr="00106894" w:rsidRDefault="00B13E4F" w:rsidP="00862F32">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6. </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A3030C" w14:textId="77777777" w:rsidR="005F7DFD" w:rsidRPr="00106894" w:rsidRDefault="005F7DFD" w:rsidP="00862F32">
            <w:pPr>
              <w:shd w:val="clear" w:color="auto" w:fill="FFFFFF"/>
              <w:spacing w:after="120" w:line="240" w:lineRule="auto"/>
              <w:ind w:left="34"/>
              <w:rPr>
                <w:rFonts w:ascii="Times New Roman" w:eastAsia="Times New Roman" w:hAnsi="Times New Roman" w:cs="Times New Roman"/>
                <w:sz w:val="24"/>
                <w:szCs w:val="24"/>
                <w:lang w:val="en-GB" w:eastAsia="lt-LT"/>
              </w:rPr>
            </w:pPr>
          </w:p>
          <w:p w14:paraId="5629E847" w14:textId="1A1299CD" w:rsidR="00B13E4F" w:rsidRPr="00106894" w:rsidRDefault="00B13E4F" w:rsidP="00862F32">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 xml:space="preserve">Salary </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EB6017" w14:textId="507086F2" w:rsidR="00B13E4F" w:rsidRPr="00106894" w:rsidRDefault="005766F7" w:rsidP="00792B77">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Salary and related benefits for the time actually worked on the project by personnel hired or assigned exclusively to carry out direct project activities, project publicity and administration activities,</w:t>
            </w:r>
            <w:r w:rsidR="00792B77"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salary, social security charges, as well as other statutory salary-related costs if they are in line with the normal remuneration policy of the Project Promoter and of the Partner) can be financed. </w:t>
            </w:r>
            <w:r w:rsidR="00B13E4F" w:rsidRPr="00106894">
              <w:rPr>
                <w:rFonts w:ascii="Times New Roman" w:eastAsia="Calibri" w:hAnsi="Times New Roman" w:cs="Times New Roman"/>
                <w:sz w:val="24"/>
                <w:szCs w:val="24"/>
                <w:lang w:val="en-GB"/>
              </w:rPr>
              <w:t>Solely the share of costs, which is directly related to the project administered and calculated and paid for the time spent working on the project shall be considered eligible costs.</w:t>
            </w:r>
          </w:p>
          <w:p w14:paraId="0B42A8FA" w14:textId="77777777" w:rsidR="00B13E4F" w:rsidRPr="00106894" w:rsidRDefault="00B13E4F" w:rsidP="00B13E4F">
            <w:pPr>
              <w:shd w:val="clear" w:color="auto" w:fill="FFFFFF"/>
              <w:spacing w:after="0" w:line="276" w:lineRule="auto"/>
              <w:jc w:val="both"/>
              <w:rPr>
                <w:rFonts w:ascii="Times New Roman" w:eastAsia="Calibri" w:hAnsi="Times New Roman" w:cs="Times New Roman"/>
                <w:sz w:val="24"/>
                <w:szCs w:val="24"/>
                <w:lang w:val="en-GB"/>
              </w:rPr>
            </w:pPr>
          </w:p>
          <w:p w14:paraId="3F9F1349" w14:textId="4294D430" w:rsidR="006858AA" w:rsidRPr="00106894" w:rsidRDefault="006858AA" w:rsidP="0007783F">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Respective salary expenses of employees of State and municipal institutions and bodies shall be eligible to the extent they are related to activities, which the respective institution or body would not carry out, if it wasn’t for the project.</w:t>
            </w:r>
          </w:p>
          <w:p w14:paraId="09F6D8D9" w14:textId="77777777" w:rsidR="00B52534" w:rsidRPr="00106894" w:rsidRDefault="000964EE" w:rsidP="0007783F">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Salary expenses shall not exceed the market rates payable to employees of a respective specialization and qualification, except in duly justified cases.</w:t>
            </w:r>
            <w:r w:rsidR="00AA1D63"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Salary of employees of </w:t>
            </w:r>
            <w:r w:rsidR="003527B9" w:rsidRPr="00106894">
              <w:rPr>
                <w:rFonts w:ascii="Times New Roman" w:eastAsia="Calibri" w:hAnsi="Times New Roman" w:cs="Times New Roman"/>
                <w:sz w:val="24"/>
                <w:szCs w:val="24"/>
                <w:lang w:val="en-GB"/>
              </w:rPr>
              <w:t xml:space="preserve">State and municipal </w:t>
            </w:r>
            <w:r w:rsidRPr="00106894">
              <w:rPr>
                <w:rFonts w:ascii="Times New Roman" w:eastAsia="Calibri" w:hAnsi="Times New Roman" w:cs="Times New Roman"/>
                <w:sz w:val="24"/>
                <w:szCs w:val="24"/>
                <w:lang w:val="en-GB"/>
              </w:rPr>
              <w:t>budgetary institutions, teachers and educational staff shall be calculated in accordance with national legislation governing the calculation of salary of such employees.</w:t>
            </w:r>
          </w:p>
          <w:p w14:paraId="68E9DAB2" w14:textId="77777777" w:rsidR="004403F4" w:rsidRPr="00106894" w:rsidRDefault="004403F4" w:rsidP="00AA1D63">
            <w:pPr>
              <w:shd w:val="clear" w:color="auto" w:fill="FFFFFF"/>
              <w:spacing w:after="0" w:line="276" w:lineRule="auto"/>
              <w:jc w:val="both"/>
              <w:rPr>
                <w:rFonts w:ascii="Times New Roman" w:eastAsia="Calibri" w:hAnsi="Times New Roman" w:cs="Times New Roman"/>
                <w:sz w:val="24"/>
                <w:szCs w:val="24"/>
                <w:lang w:val="en-GB"/>
              </w:rPr>
            </w:pPr>
          </w:p>
          <w:p w14:paraId="6E77DBDE" w14:textId="77777777" w:rsidR="004403F4" w:rsidRPr="00106894" w:rsidRDefault="004403F4" w:rsidP="004403F4">
            <w:pPr>
              <w:shd w:val="clear" w:color="auto" w:fill="FFFFFF"/>
              <w:spacing w:after="12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The planning of salaries may be based on data published by Statistics Lithuania of the Republic of Lithuania, data on similar projects, historical salary data provided by the Applicant and / or a Partner, or data on salary normally paid in the company (institution, organization) for the same functions and / or duties (for example, statements on the average monthly salary of 6 months of the specific employee, statements on the average salary of employees in the respective position (or carrying out similar functions), information about the average salary in the company (institution, organization), published by the Project Promoter, etc.). </w:t>
            </w:r>
          </w:p>
          <w:p w14:paraId="39883C6B" w14:textId="77777777" w:rsidR="004403F4" w:rsidRPr="00106894" w:rsidRDefault="004403F4" w:rsidP="00E5545B">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lastRenderedPageBreak/>
              <w:t>The application shall contain information on the number of hours (days, months) planned for each position (function) or their group for the implementation of the project and the planned average hourly (daily, monthly) rate, also explaining the basis and/or indicating the methodology used to calculate the planned average hourly (daily, monthly) rate and enclosing the supporting documents (if necessary).</w:t>
            </w:r>
          </w:p>
          <w:p w14:paraId="22E25D1F" w14:textId="451CB0CB" w:rsidR="007A4380" w:rsidRPr="00106894" w:rsidRDefault="0007783F" w:rsidP="00E5545B">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Expenses </w:t>
            </w:r>
            <w:r w:rsidR="00766422" w:rsidRPr="00106894">
              <w:rPr>
                <w:rFonts w:ascii="Times New Roman" w:eastAsia="Calibri" w:hAnsi="Times New Roman" w:cs="Times New Roman"/>
                <w:sz w:val="24"/>
                <w:szCs w:val="24"/>
                <w:lang w:val="en-GB"/>
              </w:rPr>
              <w:t xml:space="preserve">of the Project Promoters and/or partners from Lithuania </w:t>
            </w:r>
            <w:r w:rsidRPr="00106894">
              <w:rPr>
                <w:rFonts w:ascii="Times New Roman" w:eastAsia="Calibri" w:hAnsi="Times New Roman" w:cs="Times New Roman"/>
                <w:sz w:val="24"/>
                <w:szCs w:val="24"/>
                <w:lang w:val="en-GB"/>
              </w:rPr>
              <w:t xml:space="preserve">for annual leave and additional days-off of employees </w:t>
            </w:r>
            <w:r w:rsidR="007A4380" w:rsidRPr="00106894">
              <w:rPr>
                <w:rFonts w:ascii="Times New Roman" w:eastAsia="Calibri" w:hAnsi="Times New Roman" w:cs="Times New Roman"/>
                <w:sz w:val="24"/>
                <w:szCs w:val="24"/>
                <w:lang w:val="en-GB"/>
              </w:rPr>
              <w:t xml:space="preserve">shall be calculated and will be </w:t>
            </w:r>
            <w:r w:rsidRPr="00106894">
              <w:rPr>
                <w:rFonts w:ascii="Times New Roman" w:eastAsia="Calibri" w:hAnsi="Times New Roman" w:cs="Times New Roman"/>
                <w:sz w:val="24"/>
                <w:szCs w:val="24"/>
                <w:lang w:val="en-GB"/>
              </w:rPr>
              <w:t xml:space="preserve">declared and paid on a simplified bases by applying the coefficients of payments for annual leave and additional days-off </w:t>
            </w:r>
            <w:r w:rsidR="00E41552" w:rsidRPr="00106894">
              <w:rPr>
                <w:rFonts w:ascii="Times New Roman" w:eastAsia="Calibri" w:hAnsi="Times New Roman" w:cs="Times New Roman"/>
                <w:sz w:val="24"/>
                <w:szCs w:val="24"/>
                <w:lang w:val="en-GB"/>
              </w:rPr>
              <w:t xml:space="preserve">(flat rates) </w:t>
            </w:r>
            <w:r w:rsidRPr="00106894">
              <w:rPr>
                <w:rFonts w:ascii="Times New Roman" w:eastAsia="Calibri" w:hAnsi="Times New Roman" w:cs="Times New Roman"/>
                <w:sz w:val="24"/>
                <w:szCs w:val="24"/>
                <w:lang w:val="en-GB"/>
              </w:rPr>
              <w:t xml:space="preserve">set in the Report No. </w:t>
            </w:r>
            <w:r w:rsidRPr="00106894">
              <w:rPr>
                <w:rFonts w:ascii="Times New Roman" w:eastAsia="Times New Roman" w:hAnsi="Times New Roman" w:cs="Times New Roman"/>
                <w:sz w:val="24"/>
                <w:szCs w:val="24"/>
                <w:lang w:val="en-GB" w:eastAsia="lt-LT"/>
              </w:rPr>
              <w:t xml:space="preserve">FN-005 </w:t>
            </w:r>
            <w:r w:rsidRPr="00106894">
              <w:rPr>
                <w:rFonts w:ascii="Times New Roman" w:eastAsia="Calibri" w:hAnsi="Times New Roman" w:cs="Times New Roman"/>
                <w:sz w:val="24"/>
                <w:szCs w:val="24"/>
                <w:lang w:val="en-GB"/>
              </w:rPr>
              <w:t xml:space="preserve">on the Analysis on Setting Flat Rates of Payment of Annual Leave and Additional Days Off </w:t>
            </w:r>
            <w:r w:rsidRPr="00106894">
              <w:rPr>
                <w:rFonts w:ascii="Times New Roman" w:eastAsia="Times New Roman" w:hAnsi="Times New Roman" w:cs="Times New Roman"/>
                <w:sz w:val="24"/>
                <w:szCs w:val="24"/>
                <w:lang w:val="en-GB" w:eastAsia="lt-LT"/>
              </w:rPr>
              <w:t xml:space="preserve">(edition of 20 July 2017) </w:t>
            </w:r>
            <w:r w:rsidRPr="00106894">
              <w:rPr>
                <w:rFonts w:ascii="Times New Roman" w:eastAsia="Calibri" w:hAnsi="Times New Roman" w:cs="Times New Roman"/>
                <w:sz w:val="24"/>
                <w:szCs w:val="24"/>
                <w:lang w:val="en-GB"/>
              </w:rPr>
              <w:t xml:space="preserve">of the Ministry of Finance of the Republic of Lithuania, published on the website </w:t>
            </w:r>
            <w:hyperlink r:id="rId14" w:history="1">
              <w:r w:rsidRPr="00106894">
                <w:rPr>
                  <w:rStyle w:val="Hyperlink"/>
                  <w:rFonts w:ascii="Times New Roman" w:eastAsia="Calibri" w:hAnsi="Times New Roman" w:cs="Times New Roman"/>
                  <w:sz w:val="24"/>
                  <w:szCs w:val="24"/>
                  <w:lang w:val="en-GB"/>
                </w:rPr>
                <w:t>www.esinvesticijos.lt</w:t>
              </w:r>
            </w:hyperlink>
            <w:r w:rsidR="007A4380" w:rsidRPr="00106894">
              <w:rPr>
                <w:rStyle w:val="Hyperlink"/>
                <w:rFonts w:ascii="Times New Roman" w:eastAsia="Calibri" w:hAnsi="Times New Roman" w:cs="Times New Roman"/>
                <w:sz w:val="24"/>
                <w:szCs w:val="24"/>
                <w:u w:val="none"/>
                <w:lang w:val="en-GB"/>
              </w:rPr>
              <w:t xml:space="preserve"> </w:t>
            </w:r>
            <w:r w:rsidR="007A4380" w:rsidRPr="00106894">
              <w:rPr>
                <w:rFonts w:ascii="Times New Roman" w:eastAsia="Calibri" w:hAnsi="Times New Roman" w:cs="Times New Roman"/>
                <w:sz w:val="24"/>
                <w:szCs w:val="24"/>
                <w:lang w:val="en-GB"/>
              </w:rPr>
              <w:t>(Subsection “Analysis of Simplified Compensation of Expenses” of the section “Analyses” under reference “Documents”).</w:t>
            </w:r>
          </w:p>
          <w:p w14:paraId="1D2B97E2" w14:textId="74BDD0B8" w:rsidR="004403F4" w:rsidRPr="00106894" w:rsidRDefault="004403F4" w:rsidP="007A4380">
            <w:pPr>
              <w:shd w:val="clear" w:color="auto" w:fill="FFFFFF"/>
              <w:spacing w:after="0" w:line="240" w:lineRule="auto"/>
              <w:jc w:val="both"/>
              <w:rPr>
                <w:rFonts w:ascii="Times New Roman" w:eastAsia="Calibri" w:hAnsi="Times New Roman" w:cs="Times New Roman"/>
                <w:sz w:val="24"/>
                <w:szCs w:val="24"/>
                <w:lang w:val="en-GB"/>
              </w:rPr>
            </w:pPr>
          </w:p>
        </w:tc>
      </w:tr>
      <w:tr w:rsidR="004C451C" w:rsidRPr="00106894" w14:paraId="1E5D1D4D" w14:textId="77777777" w:rsidTr="00106894">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E109CD3" w14:textId="593DEA35" w:rsidR="004C451C" w:rsidRPr="00106894" w:rsidRDefault="004C451C" w:rsidP="004C451C">
            <w:pPr>
              <w:shd w:val="clear" w:color="auto" w:fill="FFFFFF"/>
              <w:spacing w:after="0" w:line="276" w:lineRule="auto"/>
              <w:jc w:val="center"/>
              <w:rPr>
                <w:rFonts w:ascii="Times New Roman" w:eastAsia="Calibri" w:hAnsi="Times New Roman" w:cs="Times New Roman"/>
                <w:b/>
                <w:bCs/>
                <w:sz w:val="24"/>
                <w:szCs w:val="24"/>
                <w:lang w:val="en-GB"/>
              </w:rPr>
            </w:pPr>
            <w:r w:rsidRPr="00106894">
              <w:rPr>
                <w:rFonts w:ascii="Times New Roman" w:eastAsia="Calibri" w:hAnsi="Times New Roman" w:cs="Times New Roman"/>
                <w:b/>
                <w:bCs/>
                <w:sz w:val="24"/>
                <w:szCs w:val="24"/>
                <w:lang w:val="en-GB"/>
              </w:rPr>
              <w:lastRenderedPageBreak/>
              <w:t xml:space="preserve">Indirect project costs </w:t>
            </w:r>
          </w:p>
        </w:tc>
      </w:tr>
      <w:tr w:rsidR="000A76CF" w:rsidRPr="00106894" w14:paraId="34CCDDB9" w14:textId="77777777" w:rsidTr="00106894">
        <w:tc>
          <w:tcPr>
            <w:tcW w:w="8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65D291"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10675FE4"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01E72FF4"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099F0791"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436B8DC5" w14:textId="77777777"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p>
          <w:p w14:paraId="71BD4EAB" w14:textId="34F2030B" w:rsidR="000A76CF" w:rsidRPr="00106894" w:rsidRDefault="000A76CF" w:rsidP="000A76CF">
            <w:pPr>
              <w:pStyle w:val="ListParagraph"/>
              <w:ind w:left="360" w:hanging="360"/>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7.</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0BEC20"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2894C1C3"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6441DBF4" w14:textId="77777777"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p>
          <w:p w14:paraId="73F49886" w14:textId="6DDA2171" w:rsidR="000A76CF" w:rsidRPr="00106894" w:rsidRDefault="000A76CF" w:rsidP="000A76CF">
            <w:pPr>
              <w:shd w:val="clear" w:color="auto" w:fill="FFFFFF"/>
              <w:spacing w:after="120" w:line="240" w:lineRule="auto"/>
              <w:ind w:left="34"/>
              <w:rPr>
                <w:rFonts w:ascii="Times New Roman" w:eastAsia="Times New Roman" w:hAnsi="Times New Roman" w:cs="Times New Roman"/>
                <w:sz w:val="24"/>
                <w:szCs w:val="24"/>
                <w:lang w:val="en-GB" w:eastAsia="lt-LT"/>
              </w:rPr>
            </w:pPr>
            <w:r w:rsidRPr="00106894">
              <w:rPr>
                <w:rFonts w:ascii="Times New Roman" w:eastAsia="Times New Roman" w:hAnsi="Times New Roman" w:cs="Times New Roman"/>
                <w:sz w:val="24"/>
                <w:szCs w:val="24"/>
                <w:lang w:val="en-GB" w:eastAsia="lt-LT"/>
              </w:rPr>
              <w:t>Indirect costs</w:t>
            </w:r>
          </w:p>
        </w:tc>
        <w:tc>
          <w:tcPr>
            <w:tcW w:w="7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7C8806" w14:textId="0D4F13B6" w:rsidR="005B61C7" w:rsidRPr="00106894" w:rsidRDefault="005B61C7" w:rsidP="005B61C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Eligible indirect project costs are costs that are not directly attributable to the implementation of project activities, but are necessary for the implementation of the project and can be related to direct project costs. Indirect costs may not include any direct eligible costs. The method for determining indirect costs shall be selected (and, where appropriate, justified) and specified in the application.</w:t>
            </w:r>
          </w:p>
          <w:p w14:paraId="247B4731" w14:textId="77777777" w:rsidR="005B61C7" w:rsidRPr="00106894" w:rsidRDefault="005B61C7" w:rsidP="005B61C7">
            <w:pPr>
              <w:shd w:val="clear" w:color="auto" w:fill="FFFFFF"/>
              <w:spacing w:after="120" w:line="240" w:lineRule="auto"/>
              <w:ind w:left="33"/>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methods for determining indirect project costs are provided for in clause 276 of the MAFR: either on the basis of actual indirect costs (</w:t>
            </w:r>
            <w:proofErr w:type="spellStart"/>
            <w:r w:rsidRPr="00106894">
              <w:rPr>
                <w:rFonts w:ascii="Times New Roman" w:eastAsia="Calibri" w:hAnsi="Times New Roman" w:cs="Times New Roman"/>
                <w:sz w:val="24"/>
                <w:szCs w:val="24"/>
                <w:lang w:val="en-GB"/>
              </w:rPr>
              <w:t>subclauses</w:t>
            </w:r>
            <w:proofErr w:type="spellEnd"/>
            <w:r w:rsidRPr="00106894">
              <w:rPr>
                <w:rFonts w:ascii="Times New Roman" w:eastAsia="Calibri" w:hAnsi="Times New Roman" w:cs="Times New Roman"/>
                <w:sz w:val="24"/>
                <w:szCs w:val="24"/>
                <w:lang w:val="en-GB"/>
              </w:rPr>
              <w:t xml:space="preserve"> 276.1 and 276.2 of the MAFR) or at a flat rate (</w:t>
            </w:r>
            <w:proofErr w:type="spellStart"/>
            <w:r w:rsidRPr="00106894">
              <w:rPr>
                <w:rFonts w:ascii="Times New Roman" w:eastAsia="Calibri" w:hAnsi="Times New Roman" w:cs="Times New Roman"/>
                <w:sz w:val="24"/>
                <w:szCs w:val="24"/>
                <w:lang w:val="en-GB"/>
              </w:rPr>
              <w:t>subclauses</w:t>
            </w:r>
            <w:proofErr w:type="spellEnd"/>
            <w:r w:rsidRPr="00106894">
              <w:rPr>
                <w:rFonts w:ascii="Times New Roman" w:eastAsia="Calibri" w:hAnsi="Times New Roman" w:cs="Times New Roman"/>
                <w:sz w:val="24"/>
                <w:szCs w:val="24"/>
                <w:lang w:val="en-GB"/>
              </w:rPr>
              <w:t xml:space="preserve"> 276.3.1, 276.3.2 and 276.3.3 of the MAFR).</w:t>
            </w:r>
          </w:p>
          <w:p w14:paraId="2866E3B1" w14:textId="77777777" w:rsidR="005B61C7" w:rsidRPr="00106894" w:rsidRDefault="005B61C7" w:rsidP="005B61C7">
            <w:pPr>
              <w:shd w:val="clear" w:color="auto" w:fill="FFFFFF"/>
              <w:spacing w:after="120" w:line="240" w:lineRule="auto"/>
              <w:ind w:left="33"/>
              <w:jc w:val="both"/>
              <w:rPr>
                <w:rFonts w:ascii="Times New Roman" w:eastAsia="Times New Roman" w:hAnsi="Times New Roman" w:cs="Times New Roman"/>
                <w:sz w:val="24"/>
                <w:szCs w:val="24"/>
                <w:lang w:val="en-GB" w:eastAsia="lt-LT"/>
              </w:rPr>
            </w:pPr>
            <w:r w:rsidRPr="00106894">
              <w:rPr>
                <w:rFonts w:ascii="Times New Roman" w:eastAsia="Calibri" w:hAnsi="Times New Roman" w:cs="Times New Roman"/>
                <w:sz w:val="24"/>
                <w:szCs w:val="24"/>
                <w:lang w:val="en-GB"/>
              </w:rPr>
              <w:t xml:space="preserve">If the method provided for in </w:t>
            </w:r>
            <w:proofErr w:type="spellStart"/>
            <w:r w:rsidRPr="00106894">
              <w:rPr>
                <w:rFonts w:ascii="Times New Roman" w:eastAsia="Calibri" w:hAnsi="Times New Roman" w:cs="Times New Roman"/>
                <w:sz w:val="24"/>
                <w:szCs w:val="24"/>
                <w:lang w:val="en-GB"/>
              </w:rPr>
              <w:t>subclause</w:t>
            </w:r>
            <w:proofErr w:type="spellEnd"/>
            <w:r w:rsidRPr="00106894">
              <w:rPr>
                <w:rFonts w:ascii="Times New Roman" w:eastAsia="Calibri" w:hAnsi="Times New Roman" w:cs="Times New Roman"/>
                <w:sz w:val="24"/>
                <w:szCs w:val="24"/>
                <w:lang w:val="en-GB"/>
              </w:rPr>
              <w:t xml:space="preserve"> </w:t>
            </w:r>
            <w:r w:rsidRPr="00106894">
              <w:rPr>
                <w:rFonts w:ascii="Times New Roman" w:eastAsia="Times New Roman" w:hAnsi="Times New Roman" w:cs="Times New Roman"/>
                <w:sz w:val="24"/>
                <w:szCs w:val="24"/>
                <w:lang w:val="en-GB" w:eastAsia="lt-LT"/>
              </w:rPr>
              <w:t xml:space="preserve">276.3.1. of the MAFR is selected </w:t>
            </w:r>
            <w:r w:rsidRPr="00106894">
              <w:rPr>
                <w:rFonts w:ascii="Times New Roman" w:eastAsia="Calibri" w:hAnsi="Times New Roman" w:cs="Times New Roman"/>
                <w:sz w:val="24"/>
                <w:szCs w:val="24"/>
                <w:lang w:val="en-GB"/>
              </w:rPr>
              <w:t xml:space="preserve">to determine indirect costs of the project, indirect project costs shall be justified in accordance with provisions of the "Methodology for Determining and Applying a Flat Rate for Indirect Costs” approved by the CPMA and published online at </w:t>
            </w:r>
            <w:hyperlink r:id="rId15" w:history="1">
              <w:r w:rsidRPr="00106894">
                <w:rPr>
                  <w:rStyle w:val="Hyperlink"/>
                  <w:rFonts w:ascii="Times New Roman" w:eastAsia="Calibri" w:hAnsi="Times New Roman" w:cs="Times New Roman"/>
                  <w:sz w:val="24"/>
                  <w:szCs w:val="24"/>
                  <w:lang w:val="en-GB"/>
                </w:rPr>
                <w:t>www.cpva.lt</w:t>
              </w:r>
            </w:hyperlink>
            <w:r w:rsidRPr="00106894">
              <w:rPr>
                <w:rFonts w:ascii="Times New Roman" w:eastAsia="Calibri" w:hAnsi="Times New Roman" w:cs="Times New Roman"/>
                <w:sz w:val="24"/>
                <w:szCs w:val="24"/>
                <w:lang w:val="en-GB"/>
              </w:rPr>
              <w:t xml:space="preserve"> (current edition: </w:t>
            </w:r>
            <w:r w:rsidRPr="00106894">
              <w:rPr>
                <w:rFonts w:ascii="Times New Roman" w:eastAsia="Times New Roman" w:hAnsi="Times New Roman" w:cs="Times New Roman"/>
                <w:sz w:val="24"/>
                <w:szCs w:val="24"/>
                <w:lang w:val="en-GB" w:eastAsia="lt-LT"/>
              </w:rPr>
              <w:t xml:space="preserve"> </w:t>
            </w:r>
            <w:hyperlink r:id="rId16" w:history="1">
              <w:r w:rsidRPr="00106894">
                <w:rPr>
                  <w:rStyle w:val="Hyperlink"/>
                  <w:rFonts w:ascii="Times New Roman" w:eastAsia="Times New Roman" w:hAnsi="Times New Roman" w:cs="Times New Roman"/>
                  <w:sz w:val="24"/>
                  <w:szCs w:val="24"/>
                  <w:lang w:val="en-GB" w:eastAsia="lt-LT"/>
                </w:rPr>
                <w:t>https://www.cpva.lt/eee-ir-norvegijos-finansiniai-mechanizmai-2014-2021-m./dokumentai/682/act719?sqid=994b3627fada2d63b94793688db3b709c08413e2</w:t>
              </w:r>
            </w:hyperlink>
            <w:r w:rsidRPr="00106894">
              <w:rPr>
                <w:rFonts w:ascii="Times New Roman" w:eastAsia="Times New Roman" w:hAnsi="Times New Roman" w:cs="Times New Roman"/>
                <w:sz w:val="24"/>
                <w:szCs w:val="24"/>
                <w:lang w:val="en-GB" w:eastAsia="lt-LT"/>
              </w:rPr>
              <w:t>).</w:t>
            </w:r>
          </w:p>
          <w:p w14:paraId="63970CA4" w14:textId="0E39BC52" w:rsidR="000A76CF" w:rsidRPr="00106894" w:rsidRDefault="005B61C7" w:rsidP="00792B77">
            <w:pPr>
              <w:shd w:val="clear" w:color="auto" w:fill="FFFFFF"/>
              <w:spacing w:after="0" w:line="240" w:lineRule="auto"/>
              <w:jc w:val="both"/>
              <w:rPr>
                <w:rFonts w:ascii="Times New Roman" w:eastAsia="Calibri" w:hAnsi="Times New Roman" w:cs="Times New Roman"/>
                <w:sz w:val="24"/>
                <w:szCs w:val="24"/>
                <w:lang w:val="en-GB"/>
              </w:rPr>
            </w:pPr>
            <w:r w:rsidRPr="00106894">
              <w:rPr>
                <w:rFonts w:ascii="Times New Roman" w:eastAsia="Times New Roman" w:hAnsi="Times New Roman" w:cs="Times New Roman"/>
                <w:sz w:val="24"/>
                <w:szCs w:val="24"/>
                <w:lang w:val="en-GB" w:eastAsia="lt-LT"/>
              </w:rPr>
              <w:t>Examples of indirect costs are the general costs of the organization for infrastructure (such as electricity, natural gas, heating, water, cleaning, security, room maintenance, communications, etc.), small office equipment and office supplies, and horizontal activities of the organization such as administrative and financial management, human resources, training, legal advice, etc., as part of the project implementation.</w:t>
            </w:r>
          </w:p>
        </w:tc>
      </w:tr>
    </w:tbl>
    <w:p w14:paraId="221C4C07" w14:textId="77777777" w:rsidR="003B6937" w:rsidRPr="00106894" w:rsidRDefault="003B6937" w:rsidP="003B6937">
      <w:pPr>
        <w:pStyle w:val="ListParagraph"/>
        <w:tabs>
          <w:tab w:val="left" w:pos="851"/>
          <w:tab w:val="left" w:pos="993"/>
          <w:tab w:val="left" w:pos="1134"/>
        </w:tabs>
        <w:spacing w:after="120" w:line="240" w:lineRule="auto"/>
        <w:ind w:left="360"/>
        <w:jc w:val="both"/>
        <w:rPr>
          <w:rFonts w:ascii="Times New Roman" w:eastAsia="Calibri" w:hAnsi="Times New Roman" w:cs="Times New Roman"/>
          <w:sz w:val="24"/>
          <w:szCs w:val="24"/>
          <w:lang w:val="en-GB"/>
        </w:rPr>
      </w:pPr>
      <w:bookmarkStart w:id="10" w:name="_Hlk60982479"/>
    </w:p>
    <w:p w14:paraId="33F88D5E" w14:textId="572B1339" w:rsidR="009B330A" w:rsidRPr="00106894" w:rsidRDefault="003B6937" w:rsidP="00C42AA3">
      <w:pPr>
        <w:pStyle w:val="ListParagraph"/>
        <w:numPr>
          <w:ilvl w:val="0"/>
          <w:numId w:val="19"/>
        </w:numPr>
        <w:tabs>
          <w:tab w:val="left" w:pos="426"/>
          <w:tab w:val="left" w:pos="851"/>
          <w:tab w:val="left" w:pos="1134"/>
        </w:tabs>
        <w:spacing w:after="120" w:line="240" w:lineRule="auto"/>
        <w:ind w:left="0" w:firstLine="567"/>
        <w:jc w:val="both"/>
        <w:rPr>
          <w:rFonts w:ascii="Times New Roman" w:eastAsia="Calibri" w:hAnsi="Times New Roman" w:cs="Times New Roman"/>
          <w:sz w:val="24"/>
          <w:szCs w:val="24"/>
          <w:lang w:val="en-GB"/>
        </w:rPr>
      </w:pPr>
      <w:r w:rsidRPr="00C42AA3">
        <w:rPr>
          <w:rFonts w:ascii="Times New Roman" w:eastAsia="Calibri" w:hAnsi="Times New Roman" w:cs="Times New Roman"/>
          <w:sz w:val="24"/>
          <w:szCs w:val="24"/>
          <w:lang w:val="en-GB"/>
        </w:rPr>
        <w:t>The flat rates applied during the implementation of the project shall not be changed, unless the</w:t>
      </w:r>
      <w:r w:rsidR="00C42AA3" w:rsidRPr="00C42AA3">
        <w:rPr>
          <w:rFonts w:ascii="Times New Roman" w:eastAsia="Calibri" w:hAnsi="Times New Roman" w:cs="Times New Roman"/>
          <w:sz w:val="24"/>
          <w:szCs w:val="24"/>
          <w:lang w:val="en-GB"/>
        </w:rPr>
        <w:t xml:space="preserve"> VAT rate applicable to fuel and/or public transport costs changes and/or</w:t>
      </w:r>
      <w:r w:rsidRPr="00C42AA3">
        <w:rPr>
          <w:rFonts w:ascii="Times New Roman" w:eastAsia="Calibri" w:hAnsi="Times New Roman" w:cs="Times New Roman"/>
          <w:sz w:val="24"/>
          <w:szCs w:val="24"/>
          <w:lang w:val="en-GB"/>
        </w:rPr>
        <w:t xml:space="preserve"> coordinating authority, audit </w:t>
      </w:r>
      <w:r w:rsidRPr="00C42AA3">
        <w:rPr>
          <w:rFonts w:ascii="Times New Roman" w:eastAsia="Calibri" w:hAnsi="Times New Roman" w:cs="Times New Roman"/>
          <w:sz w:val="24"/>
          <w:szCs w:val="24"/>
          <w:lang w:val="en-GB"/>
        </w:rPr>
        <w:lastRenderedPageBreak/>
        <w:t>authority or other auditing authorities or</w:t>
      </w:r>
      <w:r w:rsidR="009B330A" w:rsidRPr="00C42AA3">
        <w:rPr>
          <w:rFonts w:ascii="Times New Roman" w:eastAsia="Calibri" w:hAnsi="Times New Roman" w:cs="Times New Roman"/>
          <w:sz w:val="24"/>
          <w:szCs w:val="24"/>
          <w:lang w:val="en-GB"/>
        </w:rPr>
        <w:t xml:space="preserve"> when</w:t>
      </w:r>
      <w:r w:rsidRPr="00C42AA3">
        <w:rPr>
          <w:rFonts w:ascii="Times New Roman" w:eastAsia="Calibri" w:hAnsi="Times New Roman" w:cs="Times New Roman"/>
          <w:sz w:val="24"/>
          <w:szCs w:val="24"/>
          <w:lang w:val="en-GB"/>
        </w:rPr>
        <w:t xml:space="preserve"> simplified costing methodologies for European Union Structural Funds projects, the European Union Structural Funds Managing</w:t>
      </w:r>
      <w:r w:rsidRPr="00106894">
        <w:rPr>
          <w:rFonts w:ascii="Times New Roman" w:eastAsia="Calibri" w:hAnsi="Times New Roman" w:cs="Times New Roman"/>
          <w:sz w:val="24"/>
          <w:szCs w:val="24"/>
          <w:lang w:val="en-GB"/>
        </w:rPr>
        <w:t xml:space="preserve"> Authority</w:t>
      </w:r>
      <w:r w:rsidR="009B330A" w:rsidRPr="00106894">
        <w:rPr>
          <w:rFonts w:ascii="Times New Roman" w:eastAsia="Calibri" w:hAnsi="Times New Roman" w:cs="Times New Roman"/>
          <w:sz w:val="24"/>
          <w:szCs w:val="24"/>
          <w:lang w:val="en-GB"/>
        </w:rPr>
        <w:t xml:space="preserve"> are followed </w:t>
      </w:r>
      <w:r w:rsidRPr="00106894">
        <w:rPr>
          <w:rFonts w:ascii="Times New Roman" w:eastAsia="Calibri" w:hAnsi="Times New Roman" w:cs="Times New Roman"/>
          <w:sz w:val="24"/>
          <w:szCs w:val="24"/>
          <w:lang w:val="en-GB"/>
        </w:rPr>
        <w:t xml:space="preserve">or </w:t>
      </w:r>
      <w:r w:rsidR="009B330A" w:rsidRPr="00106894">
        <w:rPr>
          <w:rFonts w:ascii="Times New Roman" w:eastAsia="Calibri" w:hAnsi="Times New Roman" w:cs="Times New Roman"/>
          <w:sz w:val="24"/>
          <w:szCs w:val="24"/>
          <w:lang w:val="en-GB"/>
        </w:rPr>
        <w:t xml:space="preserve">when an </w:t>
      </w:r>
      <w:r w:rsidRPr="00106894">
        <w:rPr>
          <w:rFonts w:ascii="Times New Roman" w:eastAsia="Calibri" w:hAnsi="Times New Roman" w:cs="Times New Roman"/>
          <w:sz w:val="24"/>
          <w:szCs w:val="24"/>
          <w:lang w:val="en-GB"/>
        </w:rPr>
        <w:t>audit authority determines that</w:t>
      </w:r>
      <w:r w:rsidR="009B330A" w:rsidRPr="00106894">
        <w:rPr>
          <w:rFonts w:ascii="Times New Roman" w:eastAsia="Calibri" w:hAnsi="Times New Roman" w:cs="Times New Roman"/>
          <w:sz w:val="24"/>
          <w:szCs w:val="24"/>
          <w:lang w:val="en-GB"/>
        </w:rPr>
        <w:t xml:space="preserve"> an</w:t>
      </w:r>
      <w:r w:rsidRPr="00106894">
        <w:rPr>
          <w:rFonts w:ascii="Times New Roman" w:eastAsia="Calibri" w:hAnsi="Times New Roman" w:cs="Times New Roman"/>
          <w:sz w:val="24"/>
          <w:szCs w:val="24"/>
          <w:lang w:val="en-GB"/>
        </w:rPr>
        <w:t xml:space="preserve"> amount of the simplified reimbursement or the conditions for its application were incorrectly determined (in cases where the amount should have been lower or otherwise applied), the adjusted amount or the conditions for its application</w:t>
      </w:r>
      <w:r w:rsidR="009B330A"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shall apply to </w:t>
      </w:r>
      <w:r w:rsidR="009B330A" w:rsidRPr="00106894">
        <w:rPr>
          <w:rFonts w:ascii="Times New Roman" w:eastAsia="Calibri" w:hAnsi="Times New Roman" w:cs="Times New Roman"/>
          <w:sz w:val="24"/>
          <w:szCs w:val="24"/>
          <w:lang w:val="en-GB"/>
        </w:rPr>
        <w:t xml:space="preserve">pay </w:t>
      </w:r>
      <w:r w:rsidRPr="00106894">
        <w:rPr>
          <w:rFonts w:ascii="Times New Roman" w:eastAsia="Calibri" w:hAnsi="Times New Roman" w:cs="Times New Roman"/>
          <w:sz w:val="24"/>
          <w:szCs w:val="24"/>
          <w:lang w:val="en-GB"/>
        </w:rPr>
        <w:t xml:space="preserve">the simplified reimbursement costs incurred from </w:t>
      </w:r>
      <w:bookmarkEnd w:id="10"/>
      <w:r w:rsidR="009B330A" w:rsidRPr="00106894">
        <w:rPr>
          <w:rFonts w:ascii="Times New Roman" w:eastAsia="Calibri" w:hAnsi="Times New Roman" w:cs="Times New Roman"/>
          <w:sz w:val="24"/>
          <w:szCs w:val="24"/>
          <w:lang w:val="en-GB"/>
        </w:rPr>
        <w:t xml:space="preserve">the date of entry into force of adjustment of an amount of simplified reimbursement costs and of conditions of its application). </w:t>
      </w:r>
    </w:p>
    <w:p w14:paraId="7C851CC3" w14:textId="19C1BCB3" w:rsidR="00D677AC" w:rsidRPr="00106894" w:rsidRDefault="009B330A"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 </w:t>
      </w:r>
      <w:bookmarkStart w:id="11" w:name="_Hlk60982864"/>
      <w:r w:rsidR="00D677AC" w:rsidRPr="00106894">
        <w:rPr>
          <w:rFonts w:ascii="Times New Roman" w:eastAsia="Calibri" w:hAnsi="Times New Roman" w:cs="Times New Roman"/>
          <w:sz w:val="24"/>
          <w:szCs w:val="24"/>
          <w:lang w:val="en-GB"/>
        </w:rPr>
        <w:t xml:space="preserve">Costs that are </w:t>
      </w:r>
      <w:r w:rsidR="00D677AC" w:rsidRPr="00106894">
        <w:rPr>
          <w:rFonts w:ascii="Times New Roman" w:eastAsia="Times New Roman" w:hAnsi="Times New Roman" w:cs="Times New Roman"/>
          <w:sz w:val="24"/>
          <w:szCs w:val="24"/>
          <w:lang w:val="en-GB" w:eastAsia="lt-LT"/>
        </w:rPr>
        <w:t xml:space="preserve">necessary for the administration of the project </w:t>
      </w:r>
      <w:r w:rsidR="00D677AC" w:rsidRPr="00106894">
        <w:rPr>
          <w:rFonts w:ascii="Times New Roman" w:eastAsia="Calibri" w:hAnsi="Times New Roman" w:cs="Times New Roman"/>
          <w:sz w:val="24"/>
          <w:szCs w:val="24"/>
          <w:lang w:val="en-GB"/>
        </w:rPr>
        <w:t>indicated in the paragraph 38 under headings 3 to 6</w:t>
      </w:r>
      <w:r w:rsidR="00D677AC" w:rsidRPr="00106894">
        <w:rPr>
          <w:rFonts w:ascii="Times New Roman" w:eastAsia="Times New Roman" w:hAnsi="Times New Roman" w:cs="Times New Roman"/>
          <w:sz w:val="24"/>
          <w:szCs w:val="24"/>
          <w:lang w:val="en-GB" w:eastAsia="lt-LT"/>
        </w:rPr>
        <w:t xml:space="preserve">,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 are considered direct costs of the project. </w:t>
      </w:r>
      <w:r w:rsidR="00D677AC" w:rsidRPr="00106894">
        <w:rPr>
          <w:rFonts w:ascii="Times New Roman" w:eastAsia="Calibri" w:hAnsi="Times New Roman" w:cs="Times New Roman"/>
          <w:sz w:val="24"/>
          <w:szCs w:val="24"/>
          <w:lang w:val="en-GB"/>
        </w:rPr>
        <w:t xml:space="preserve">Total amount of costs necessary for the administration of the project </w:t>
      </w:r>
      <w:r w:rsidR="00D509C4">
        <w:rPr>
          <w:rFonts w:ascii="Times New Roman" w:eastAsia="Times New Roman" w:hAnsi="Times New Roman" w:cs="Times New Roman"/>
          <w:sz w:val="24"/>
          <w:szCs w:val="24"/>
          <w:lang w:val="en-GB" w:eastAsia="lt-LT"/>
        </w:rPr>
        <w:t>may not exceed 5</w:t>
      </w:r>
      <w:r w:rsidR="00D677AC" w:rsidRPr="00106894">
        <w:rPr>
          <w:rFonts w:ascii="Times New Roman" w:eastAsia="Times New Roman" w:hAnsi="Times New Roman" w:cs="Times New Roman"/>
          <w:sz w:val="24"/>
          <w:szCs w:val="24"/>
          <w:lang w:val="en-GB" w:eastAsia="lt-LT"/>
        </w:rPr>
        <w:t xml:space="preserve"> percent of eligible project costs.</w:t>
      </w:r>
    </w:p>
    <w:bookmarkEnd w:id="11"/>
    <w:p w14:paraId="56CD0511" w14:textId="782429D3" w:rsidR="00C3038C" w:rsidRPr="00106894" w:rsidRDefault="00C3038C"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The publicity costs of the project indicated in the paragraph 38 under headings 3 to 6 shall be considered as direct costs of the project and shall be eligible for financing when incurred in the course of communication actions of the project as foreseen in the clauses 260-264 of the MAFR. </w:t>
      </w:r>
    </w:p>
    <w:p w14:paraId="213AB4EE" w14:textId="440AAF51" w:rsidR="00FE1E2A" w:rsidRPr="00106894" w:rsidRDefault="00FE1E2A" w:rsidP="00071751">
      <w:pPr>
        <w:pStyle w:val="ListParagraph"/>
        <w:numPr>
          <w:ilvl w:val="0"/>
          <w:numId w:val="19"/>
        </w:numPr>
        <w:tabs>
          <w:tab w:val="left" w:pos="851"/>
          <w:tab w:val="left" w:pos="993"/>
          <w:tab w:val="left" w:pos="1134"/>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Value added tax (VAT), which the Applicant (the Project Promoter) and / or a Partner will not be able, under the legal acts, to include in VAT deduction and recover, is eligible. </w:t>
      </w:r>
    </w:p>
    <w:p w14:paraId="746DF8BD" w14:textId="25A4B833" w:rsidR="002A6F77" w:rsidRPr="00106894" w:rsidRDefault="002A6F77"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In all cases, ineligible costs are defined in Section III of Chapter XIX of the MAFR.</w:t>
      </w:r>
    </w:p>
    <w:p w14:paraId="776EF487" w14:textId="487414AD" w:rsidR="009425F2" w:rsidRPr="00106894" w:rsidRDefault="009425F2"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Project costs shall be compensated upon the Project Promoter’s submission of a payment request in application of the method of cost compensation with or without an advance payment, and / or the payment of invoices. The procedure and method (-s) of payment of costs shall be set out in the project contract.</w:t>
      </w:r>
    </w:p>
    <w:p w14:paraId="33F4E410" w14:textId="3644E218" w:rsidR="00ED0D60" w:rsidRPr="00106894" w:rsidRDefault="00ED0D60"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2" w:name="_Hlk60983163"/>
      <w:r w:rsidRPr="00106894">
        <w:rPr>
          <w:rFonts w:ascii="Times New Roman" w:eastAsia="Calibri" w:hAnsi="Times New Roman" w:cs="Times New Roman"/>
          <w:sz w:val="24"/>
          <w:szCs w:val="24"/>
          <w:lang w:val="en-GB"/>
        </w:rPr>
        <w:t xml:space="preserve">In the course of the implementation of the project, the Project Promoter will be able to request an advance payment not exceeding 30 percent of the amount of the mechanism and co-financing funds allocated to the project (if the payment of an advance </w:t>
      </w:r>
      <w:r w:rsidR="00C06CDD" w:rsidRPr="00106894">
        <w:rPr>
          <w:rFonts w:ascii="Times New Roman" w:eastAsia="Calibri" w:hAnsi="Times New Roman" w:cs="Times New Roman"/>
          <w:sz w:val="24"/>
          <w:szCs w:val="24"/>
          <w:lang w:val="en-GB"/>
        </w:rPr>
        <w:t>will be</w:t>
      </w:r>
      <w:r w:rsidRPr="00106894">
        <w:rPr>
          <w:rFonts w:ascii="Times New Roman" w:eastAsia="Calibri" w:hAnsi="Times New Roman" w:cs="Times New Roman"/>
          <w:sz w:val="24"/>
          <w:szCs w:val="24"/>
          <w:lang w:val="en-GB"/>
        </w:rPr>
        <w:t xml:space="preserve"> provided for in the project contract),</w:t>
      </w:r>
      <w:r w:rsidR="00C06CDD" w:rsidRPr="00106894">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 xml:space="preserve">which </w:t>
      </w:r>
      <w:r w:rsidR="00C06CDD" w:rsidRPr="00106894">
        <w:rPr>
          <w:rFonts w:ascii="Times New Roman" w:eastAsia="Calibri" w:hAnsi="Times New Roman" w:cs="Times New Roman"/>
          <w:sz w:val="24"/>
          <w:szCs w:val="24"/>
          <w:lang w:val="en-GB"/>
        </w:rPr>
        <w:t>will</w:t>
      </w:r>
      <w:r w:rsidRPr="00106894">
        <w:rPr>
          <w:rFonts w:ascii="Times New Roman" w:eastAsia="Calibri" w:hAnsi="Times New Roman" w:cs="Times New Roman"/>
          <w:sz w:val="24"/>
          <w:szCs w:val="24"/>
          <w:lang w:val="en-GB"/>
        </w:rPr>
        <w:t xml:space="preserve"> later be </w:t>
      </w:r>
      <w:r w:rsidR="00C06CDD" w:rsidRPr="00106894">
        <w:rPr>
          <w:rFonts w:ascii="Times New Roman" w:eastAsia="Calibri" w:hAnsi="Times New Roman" w:cs="Times New Roman"/>
          <w:sz w:val="24"/>
          <w:szCs w:val="24"/>
          <w:lang w:val="en-GB"/>
        </w:rPr>
        <w:t>set-off</w:t>
      </w:r>
      <w:r w:rsidRPr="00106894">
        <w:rPr>
          <w:rFonts w:ascii="Times New Roman" w:eastAsia="Calibri" w:hAnsi="Times New Roman" w:cs="Times New Roman"/>
          <w:sz w:val="24"/>
          <w:szCs w:val="24"/>
          <w:lang w:val="en-GB"/>
        </w:rPr>
        <w:t xml:space="preserve"> after the recognition of declared expenses as eligible costs in accordance with the provisions of clause 300 of the MAFR. If an advance payment </w:t>
      </w:r>
      <w:r w:rsidR="00B54D49" w:rsidRPr="00106894">
        <w:rPr>
          <w:rFonts w:ascii="Times New Roman" w:eastAsia="Calibri" w:hAnsi="Times New Roman" w:cs="Times New Roman"/>
          <w:sz w:val="24"/>
          <w:szCs w:val="24"/>
          <w:lang w:val="en-GB"/>
        </w:rPr>
        <w:t>will be made</w:t>
      </w:r>
      <w:r w:rsidRPr="00106894">
        <w:rPr>
          <w:rFonts w:ascii="Times New Roman" w:eastAsia="Calibri" w:hAnsi="Times New Roman" w:cs="Times New Roman"/>
          <w:sz w:val="24"/>
          <w:szCs w:val="24"/>
          <w:lang w:val="en-GB"/>
        </w:rPr>
        <w:t xml:space="preserve"> for a project, the Project Promoter </w:t>
      </w:r>
      <w:r w:rsidR="00B54D49" w:rsidRPr="00106894">
        <w:rPr>
          <w:rFonts w:ascii="Times New Roman" w:eastAsia="Calibri" w:hAnsi="Times New Roman" w:cs="Times New Roman"/>
          <w:sz w:val="24"/>
          <w:szCs w:val="24"/>
          <w:lang w:val="en-GB"/>
        </w:rPr>
        <w:t>will be obliged to</w:t>
      </w:r>
      <w:r w:rsidRPr="00106894">
        <w:rPr>
          <w:rFonts w:ascii="Times New Roman" w:eastAsia="Calibri" w:hAnsi="Times New Roman" w:cs="Times New Roman"/>
          <w:sz w:val="24"/>
          <w:szCs w:val="24"/>
          <w:lang w:val="en-GB"/>
        </w:rPr>
        <w:t xml:space="preserve"> have a separate account with the credit institution for managing financing allocated for the project.</w:t>
      </w:r>
    </w:p>
    <w:p w14:paraId="5767AFC3" w14:textId="77777777" w:rsidR="000A0EF9" w:rsidRPr="00106894" w:rsidRDefault="000A0EF9"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3" w:name="_Hlk60983364"/>
      <w:bookmarkEnd w:id="12"/>
      <w:r w:rsidRPr="00106894">
        <w:rPr>
          <w:rFonts w:ascii="Times New Roman" w:eastAsia="Calibri" w:hAnsi="Times New Roman" w:cs="Times New Roman"/>
          <w:sz w:val="24"/>
          <w:szCs w:val="24"/>
          <w:lang w:val="en-GB"/>
        </w:rPr>
        <w:t>A Project Partner (-s) from a Donor State and/or a project participant (-s) from a Donor State shall account for the expenses incurred in the course of project implementation in accordance with the procedure laid down in clauses 292-294 of the MAFR and pursuant to the memo prepared by the Process Working Group that is published online at</w:t>
      </w:r>
      <w:bookmarkStart w:id="14" w:name="_Hlk61001483"/>
    </w:p>
    <w:p w14:paraId="3DC07EF1" w14:textId="54BA9DE3" w:rsidR="000A0EF9" w:rsidRPr="00106894" w:rsidRDefault="000E7C80" w:rsidP="00071751">
      <w:pPr>
        <w:pStyle w:val="ListParagraph"/>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hyperlink r:id="rId17" w:history="1">
        <w:r w:rsidR="00071751" w:rsidRPr="00E84A35">
          <w:rPr>
            <w:rStyle w:val="Hyperlink"/>
            <w:rFonts w:ascii="Times New Roman" w:hAnsi="Times New Roman" w:cs="Times New Roman"/>
            <w:sz w:val="24"/>
            <w:szCs w:val="24"/>
            <w:lang w:val="en-GB"/>
          </w:rPr>
          <w:t>https://www.cpva.lt/eee-ir-norvegijos-finansiniai-mechanizmai-2014-2021-m./dokumentai/682/act690?sqid=994b3627fada2d63b94793688db3b709c08413e2</w:t>
        </w:r>
      </w:hyperlink>
      <w:r w:rsidR="000A0EF9" w:rsidRPr="00106894">
        <w:rPr>
          <w:rFonts w:ascii="Times New Roman" w:eastAsia="Calibri" w:hAnsi="Times New Roman" w:cs="Times New Roman"/>
          <w:sz w:val="24"/>
          <w:szCs w:val="24"/>
          <w:lang w:val="en-GB"/>
        </w:rPr>
        <w:t>.</w:t>
      </w:r>
      <w:bookmarkEnd w:id="14"/>
    </w:p>
    <w:p w14:paraId="6E5E5D9C" w14:textId="77777777" w:rsidR="000A0EF9" w:rsidRPr="00106894" w:rsidRDefault="000A0EF9" w:rsidP="000A0EF9">
      <w:pPr>
        <w:pStyle w:val="ListParagraph"/>
        <w:shd w:val="clear" w:color="auto" w:fill="FFFFFF"/>
        <w:spacing w:after="120" w:line="240" w:lineRule="auto"/>
        <w:ind w:left="927"/>
        <w:jc w:val="both"/>
        <w:rPr>
          <w:rFonts w:ascii="Times New Roman" w:eastAsia="Calibri" w:hAnsi="Times New Roman" w:cs="Times New Roman"/>
          <w:sz w:val="24"/>
          <w:szCs w:val="24"/>
          <w:lang w:val="en-GB"/>
        </w:rPr>
      </w:pPr>
    </w:p>
    <w:bookmarkEnd w:id="13"/>
    <w:p w14:paraId="293CB53D" w14:textId="35F06E39" w:rsidR="0033672A" w:rsidRPr="00106894" w:rsidRDefault="0033672A" w:rsidP="0033672A">
      <w:pPr>
        <w:pStyle w:val="ListParagraph"/>
        <w:numPr>
          <w:ilvl w:val="0"/>
          <w:numId w:val="3"/>
        </w:numPr>
        <w:spacing w:after="120" w:line="240" w:lineRule="auto"/>
        <w:jc w:val="center"/>
        <w:rPr>
          <w:rFonts w:ascii="Times New Roman" w:hAnsi="Times New Roman" w:cs="Times New Roman"/>
          <w:b/>
          <w:bCs/>
          <w:caps/>
          <w:sz w:val="24"/>
          <w:szCs w:val="24"/>
          <w:lang w:val="en-GB"/>
        </w:rPr>
      </w:pPr>
      <w:r w:rsidRPr="00106894">
        <w:rPr>
          <w:rFonts w:ascii="Times New Roman" w:hAnsi="Times New Roman" w:cs="Times New Roman"/>
          <w:b/>
          <w:bCs/>
          <w:caps/>
          <w:sz w:val="24"/>
          <w:szCs w:val="24"/>
          <w:lang w:val="en-GB"/>
        </w:rPr>
        <w:t>Preparation, acceptance of applications, evaluation and selection of projects</w:t>
      </w:r>
    </w:p>
    <w:p w14:paraId="20A84226" w14:textId="77777777" w:rsidR="0042318F" w:rsidRPr="00106894" w:rsidRDefault="0042318F" w:rsidP="0042318F">
      <w:pPr>
        <w:pStyle w:val="ListParagraph"/>
        <w:shd w:val="clear" w:color="auto" w:fill="FFFFFF"/>
        <w:spacing w:after="120" w:line="240" w:lineRule="auto"/>
        <w:ind w:left="360"/>
        <w:jc w:val="both"/>
        <w:rPr>
          <w:rFonts w:ascii="Times New Roman" w:eastAsia="Calibri" w:hAnsi="Times New Roman" w:cs="Times New Roman"/>
          <w:sz w:val="24"/>
          <w:szCs w:val="24"/>
          <w:lang w:val="en-GB"/>
        </w:rPr>
      </w:pPr>
      <w:bookmarkStart w:id="15" w:name="_Hlk18088966"/>
    </w:p>
    <w:p w14:paraId="4DAEDB13" w14:textId="77777777" w:rsidR="0042318F" w:rsidRPr="00106894" w:rsidRDefault="00214ECA"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 xml:space="preserve">Mechanism and co-financing funds for projects under this open call shall be allocated by way of </w:t>
      </w:r>
      <w:r w:rsidR="00AD4D8E" w:rsidRPr="00106894">
        <w:rPr>
          <w:rFonts w:ascii="Times New Roman" w:eastAsia="Calibri" w:hAnsi="Times New Roman" w:cs="Times New Roman"/>
          <w:sz w:val="24"/>
          <w:szCs w:val="24"/>
          <w:lang w:val="en-GB"/>
        </w:rPr>
        <w:t xml:space="preserve">tender procedure. </w:t>
      </w:r>
    </w:p>
    <w:p w14:paraId="6FC87BD4" w14:textId="77777777" w:rsidR="003E2D3C" w:rsidRPr="00106894" w:rsidRDefault="00214ECA"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A</w:t>
      </w:r>
      <w:r w:rsidR="00926BD3" w:rsidRPr="00106894">
        <w:rPr>
          <w:rFonts w:ascii="Times New Roman" w:eastAsia="Calibri" w:hAnsi="Times New Roman" w:cs="Times New Roman"/>
          <w:sz w:val="24"/>
          <w:szCs w:val="24"/>
          <w:lang w:val="en-GB"/>
        </w:rPr>
        <w:t xml:space="preserve"> call for applications </w:t>
      </w:r>
      <w:r w:rsidRPr="00106894">
        <w:rPr>
          <w:rFonts w:ascii="Times New Roman" w:eastAsia="Calibri" w:hAnsi="Times New Roman" w:cs="Times New Roman"/>
          <w:sz w:val="24"/>
          <w:szCs w:val="24"/>
          <w:lang w:val="en-GB"/>
        </w:rPr>
        <w:t xml:space="preserve">is published online at </w:t>
      </w:r>
      <w:hyperlink r:id="rId18" w:history="1">
        <w:r w:rsidRPr="00106894">
          <w:rPr>
            <w:rFonts w:ascii="Times New Roman" w:eastAsia="Calibri" w:hAnsi="Times New Roman" w:cs="Times New Roman"/>
            <w:sz w:val="24"/>
            <w:szCs w:val="24"/>
            <w:lang w:val="en-GB"/>
          </w:rPr>
          <w:t>www.eeagrants.lt</w:t>
        </w:r>
      </w:hyperlink>
      <w:r w:rsidRPr="00106894">
        <w:rPr>
          <w:rFonts w:ascii="Times New Roman" w:eastAsia="Calibri" w:hAnsi="Times New Roman" w:cs="Times New Roman"/>
          <w:sz w:val="24"/>
          <w:szCs w:val="24"/>
          <w:lang w:val="en-GB"/>
        </w:rPr>
        <w:t xml:space="preserve"> and </w:t>
      </w:r>
      <w:hyperlink r:id="rId19" w:history="1">
        <w:r w:rsidRPr="00106894">
          <w:rPr>
            <w:rFonts w:ascii="Times New Roman" w:eastAsia="Calibri" w:hAnsi="Times New Roman" w:cs="Times New Roman"/>
            <w:sz w:val="24"/>
            <w:szCs w:val="24"/>
            <w:lang w:val="en-GB"/>
          </w:rPr>
          <w:t>www.cpva.lt</w:t>
        </w:r>
      </w:hyperlink>
      <w:r w:rsidRPr="00106894">
        <w:rPr>
          <w:rFonts w:ascii="Times New Roman" w:eastAsia="Calibri" w:hAnsi="Times New Roman" w:cs="Times New Roman"/>
          <w:sz w:val="24"/>
          <w:szCs w:val="24"/>
          <w:lang w:val="en-GB"/>
        </w:rPr>
        <w:t xml:space="preserve">. </w:t>
      </w:r>
      <w:bookmarkStart w:id="16" w:name="_Hlk60983622"/>
      <w:bookmarkEnd w:id="15"/>
    </w:p>
    <w:p w14:paraId="4E5738B2" w14:textId="01060ED2" w:rsidR="003E2D3C" w:rsidRPr="00106894" w:rsidRDefault="003E2D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In order to receive financing, the Applicant shall online via the DMS</w:t>
      </w:r>
      <w:r w:rsidRPr="00106894" w:rsidDel="006F3E0F">
        <w:rPr>
          <w:rFonts w:ascii="Times New Roman" w:eastAsia="Calibri" w:hAnsi="Times New Roman" w:cs="Times New Roman"/>
          <w:sz w:val="24"/>
          <w:szCs w:val="24"/>
          <w:lang w:val="en-GB"/>
        </w:rPr>
        <w:t xml:space="preserve"> </w:t>
      </w:r>
      <w:r w:rsidRPr="00106894">
        <w:rPr>
          <w:rFonts w:ascii="Times New Roman" w:eastAsia="Calibri" w:hAnsi="Times New Roman" w:cs="Times New Roman"/>
          <w:sz w:val="24"/>
          <w:szCs w:val="24"/>
          <w:lang w:val="en-GB"/>
        </w:rPr>
        <w:t>fill in an application, drafted by the Process Working Group (a typi</w:t>
      </w:r>
      <w:r w:rsidR="00D509C4">
        <w:rPr>
          <w:rFonts w:ascii="Times New Roman" w:eastAsia="Calibri" w:hAnsi="Times New Roman" w:cs="Times New Roman"/>
          <w:sz w:val="24"/>
          <w:szCs w:val="24"/>
          <w:lang w:val="en-GB"/>
        </w:rPr>
        <w:t>cal form is available in Annex 4</w:t>
      </w:r>
      <w:r w:rsidRPr="00106894">
        <w:rPr>
          <w:rFonts w:ascii="Times New Roman" w:eastAsia="Calibri" w:hAnsi="Times New Roman" w:cs="Times New Roman"/>
          <w:sz w:val="24"/>
          <w:szCs w:val="24"/>
          <w:lang w:val="en-GB"/>
        </w:rPr>
        <w:t xml:space="preserve"> to these Guidelines), and together with annexes submit it via the DMS by the date specified in the call for applications. After </w:t>
      </w:r>
      <w:r w:rsidRPr="00106894">
        <w:rPr>
          <w:rFonts w:ascii="Times New Roman" w:eastAsia="Calibri" w:hAnsi="Times New Roman" w:cs="Times New Roman"/>
          <w:sz w:val="24"/>
          <w:szCs w:val="24"/>
          <w:lang w:val="en-GB"/>
        </w:rPr>
        <w:lastRenderedPageBreak/>
        <w:t>submitting the application, the applicant shall immediately be sent a confirmation via the DMS of the registration of the application stating the unique code assigned to the application. If the DMS functionality is not guaranteed, the applicant will be informed about the registration of the application and its unique code in written, by sending information to the email address of the indicated contact person.</w:t>
      </w:r>
    </w:p>
    <w:p w14:paraId="29A0BC28" w14:textId="77777777" w:rsidR="00A71A3C" w:rsidRPr="00106894" w:rsidRDefault="003E2D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bookmarkStart w:id="17" w:name="_Hlk60983787"/>
      <w:bookmarkEnd w:id="16"/>
      <w:r w:rsidRPr="00106894">
        <w:rPr>
          <w:rFonts w:ascii="Times New Roman" w:eastAsia="Calibri" w:hAnsi="Times New Roman" w:cs="Times New Roman"/>
          <w:sz w:val="24"/>
          <w:szCs w:val="24"/>
          <w:lang w:val="en-GB"/>
        </w:rPr>
        <w:t>Applications submitted by other than DMS means and measures shall not be accepted and shall be returned to Applicant. In case of a temporary failure to ensure DMS functionalities, which makes it impossible for Applicants to submit applications or annexes thereto on the deadline for the submission of applications, the CPMA shall extend the deadline for the submission of applications for 7 days and/or create the opportunity to submit applications or annexes thereto by other means, informing Applicants thereof via DMS or in writing, if DMS functions have not been installed or are not ensured.</w:t>
      </w:r>
      <w:bookmarkStart w:id="18" w:name="_Hlk60983898"/>
      <w:bookmarkEnd w:id="17"/>
    </w:p>
    <w:p w14:paraId="66584FBD" w14:textId="77777777" w:rsidR="00A71A3C" w:rsidRPr="00106894" w:rsidRDefault="00A71A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Applicant may ask questions regarding the conditions of allocation of financing, also questions relating to the filling of applications and other financing allocation-related questions by calling CPMA phone numbers indicated in the call, in writing, e-mail or verbally.</w:t>
      </w:r>
    </w:p>
    <w:p w14:paraId="07724DDF" w14:textId="115DCD0B" w:rsidR="00A71A3C" w:rsidRDefault="00A71A3C" w:rsidP="00071751">
      <w:pPr>
        <w:pStyle w:val="ListParagraph"/>
        <w:numPr>
          <w:ilvl w:val="0"/>
          <w:numId w:val="19"/>
        </w:numPr>
        <w:shd w:val="clear" w:color="auto" w:fill="FFFFFF"/>
        <w:tabs>
          <w:tab w:val="left" w:pos="993"/>
        </w:tabs>
        <w:spacing w:after="120" w:line="240" w:lineRule="auto"/>
        <w:ind w:left="0" w:firstLine="567"/>
        <w:jc w:val="both"/>
        <w:rPr>
          <w:rFonts w:ascii="Times New Roman" w:eastAsia="Calibri" w:hAnsi="Times New Roman" w:cs="Times New Roman"/>
          <w:sz w:val="24"/>
          <w:szCs w:val="24"/>
          <w:lang w:val="en-GB"/>
        </w:rPr>
      </w:pPr>
      <w:r w:rsidRPr="00106894">
        <w:rPr>
          <w:rFonts w:ascii="Times New Roman" w:eastAsia="Calibri" w:hAnsi="Times New Roman" w:cs="Times New Roman"/>
          <w:sz w:val="24"/>
          <w:szCs w:val="24"/>
          <w:lang w:val="en-GB"/>
        </w:rPr>
        <w:t>The Applicant shall submit the following annexes along with its application:</w:t>
      </w:r>
    </w:p>
    <w:bookmarkEnd w:id="18"/>
    <w:p w14:paraId="5AEAECF4" w14:textId="1ED5EABB" w:rsidR="00463ECD" w:rsidRDefault="00071751" w:rsidP="00463ECD">
      <w:pPr>
        <w:pStyle w:val="ListParagraph"/>
        <w:numPr>
          <w:ilvl w:val="1"/>
          <w:numId w:val="37"/>
        </w:numPr>
        <w:tabs>
          <w:tab w:val="left" w:pos="1134"/>
        </w:tabs>
        <w:ind w:left="0" w:firstLine="567"/>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 xml:space="preserve"> </w:t>
      </w:r>
      <w:r w:rsidR="00463ECD" w:rsidRPr="00913D47">
        <w:rPr>
          <w:rFonts w:ascii="Times New Roman" w:hAnsi="Times New Roman" w:cs="Times New Roman"/>
          <w:sz w:val="24"/>
          <w:szCs w:val="24"/>
          <w:lang w:val="en-GB"/>
        </w:rPr>
        <w:t xml:space="preserve">a list of proposed candidates for Well-being </w:t>
      </w:r>
      <w:r w:rsidR="00511355">
        <w:rPr>
          <w:rFonts w:ascii="Times New Roman" w:hAnsi="Times New Roman" w:cs="Times New Roman"/>
          <w:sz w:val="24"/>
          <w:szCs w:val="24"/>
          <w:lang w:val="en-GB"/>
        </w:rPr>
        <w:t>Adviser</w:t>
      </w:r>
      <w:r w:rsidR="00463ECD" w:rsidRPr="00913D47">
        <w:rPr>
          <w:rFonts w:ascii="Times New Roman" w:hAnsi="Times New Roman" w:cs="Times New Roman"/>
          <w:sz w:val="24"/>
          <w:szCs w:val="24"/>
          <w:lang w:val="en-GB"/>
        </w:rPr>
        <w:t xml:space="preserve">s with a substantiation (Annex 2 to the Guidelines) of how the selected candidates meet the requirements for Well-being </w:t>
      </w:r>
      <w:r w:rsidR="00511355">
        <w:rPr>
          <w:rFonts w:ascii="Times New Roman" w:hAnsi="Times New Roman" w:cs="Times New Roman"/>
          <w:sz w:val="24"/>
          <w:szCs w:val="24"/>
          <w:lang w:val="en-GB"/>
        </w:rPr>
        <w:t>Adviser</w:t>
      </w:r>
      <w:r w:rsidR="00463ECD" w:rsidRPr="00913D47">
        <w:rPr>
          <w:rFonts w:ascii="Times New Roman" w:hAnsi="Times New Roman" w:cs="Times New Roman"/>
          <w:sz w:val="24"/>
          <w:szCs w:val="24"/>
          <w:lang w:val="en-GB"/>
        </w:rPr>
        <w:t>s which are set out in point 21.1 of the Guidelines (the list of candidates must include the number of professionals who will provide the services and at least one additional candidate);</w:t>
      </w:r>
    </w:p>
    <w:p w14:paraId="0191329F" w14:textId="3DE95EC2"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copies of documents certifying the education of proposed candidates for the provision of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services;</w:t>
      </w:r>
    </w:p>
    <w:p w14:paraId="1F8894BD" w14:textId="38AF399C"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 xml:space="preserve">information on the place designated for the provision of Well-being </w:t>
      </w:r>
      <w:r w:rsidR="00511355">
        <w:rPr>
          <w:rFonts w:ascii="Times New Roman" w:hAnsi="Times New Roman" w:cs="Times New Roman"/>
          <w:sz w:val="24"/>
          <w:szCs w:val="24"/>
          <w:lang w:val="en-GB"/>
        </w:rPr>
        <w:t>Adviser</w:t>
      </w:r>
      <w:r w:rsidRPr="00913D47">
        <w:rPr>
          <w:rFonts w:ascii="Times New Roman" w:hAnsi="Times New Roman" w:cs="Times New Roman"/>
          <w:sz w:val="24"/>
          <w:szCs w:val="24"/>
          <w:lang w:val="en-GB"/>
        </w:rPr>
        <w:t xml:space="preserve"> services and documents (Annex 3 to the Guidelines) proving that the services will be provided in a place that ensures privacy and confidentiality of the services provided to an individual in a place that is convenient and easily accessible to the service recipients;</w:t>
      </w:r>
    </w:p>
    <w:p w14:paraId="1FE8424E" w14:textId="77777777" w:rsidR="00463ECD" w:rsidRPr="00913D47" w:rsidRDefault="00463ECD" w:rsidP="00463ECD">
      <w:pPr>
        <w:pStyle w:val="ListParagraph"/>
        <w:numPr>
          <w:ilvl w:val="1"/>
          <w:numId w:val="37"/>
        </w:numPr>
        <w:tabs>
          <w:tab w:val="left" w:pos="567"/>
          <w:tab w:val="left" w:pos="1134"/>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documents substantiating the validity of the project budget (in case the costs will be incurred in carrying out public procurements (except for the costs that will be declared and paid in a simplified manner) the planned costs must be based on market research (Annex 10 to the Guidelines));</w:t>
      </w:r>
    </w:p>
    <w:p w14:paraId="587627B6" w14:textId="77777777" w:rsidR="00463ECD" w:rsidRPr="00913D47" w:rsidRDefault="00463ECD" w:rsidP="00463ECD">
      <w:pPr>
        <w:pStyle w:val="ListParagraph"/>
        <w:numPr>
          <w:ilvl w:val="1"/>
          <w:numId w:val="37"/>
        </w:numPr>
        <w:tabs>
          <w:tab w:val="left" w:pos="1134"/>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a draft partnership agreement that meets the requirements of these Guidelines (if the partnership agreement has been signed before the request is submitted - a copy of the signed agreement) or a document of intent to enter into such an agreement (if applicable);</w:t>
      </w:r>
    </w:p>
    <w:p w14:paraId="39978084" w14:textId="77777777" w:rsidR="00463ECD" w:rsidRPr="00913D47" w:rsidRDefault="00463ECD" w:rsidP="00463ECD">
      <w:pPr>
        <w:pStyle w:val="ListParagraph"/>
        <w:numPr>
          <w:ilvl w:val="1"/>
          <w:numId w:val="37"/>
        </w:numPr>
        <w:tabs>
          <w:tab w:val="left" w:pos="1134"/>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information of activities of attrac</w:t>
      </w:r>
      <w:r>
        <w:rPr>
          <w:rFonts w:ascii="Times New Roman" w:hAnsi="Times New Roman" w:cs="Times New Roman"/>
          <w:sz w:val="24"/>
          <w:szCs w:val="24"/>
          <w:lang w:val="en-GB"/>
        </w:rPr>
        <w:t>t</w:t>
      </w:r>
      <w:r w:rsidRPr="00913D47">
        <w:rPr>
          <w:rFonts w:ascii="Times New Roman" w:hAnsi="Times New Roman" w:cs="Times New Roman"/>
          <w:sz w:val="24"/>
          <w:szCs w:val="24"/>
          <w:lang w:val="en-GB"/>
        </w:rPr>
        <w:t>ing service recipients (including the organization of a publicity campaign that meets the needs of the target group) (if applicable);</w:t>
      </w:r>
    </w:p>
    <w:p w14:paraId="5F313C7C" w14:textId="77777777" w:rsidR="00463ECD" w:rsidRPr="00913D47" w:rsidRDefault="00463ECD" w:rsidP="00463ECD">
      <w:pPr>
        <w:pStyle w:val="ListParagraph"/>
        <w:numPr>
          <w:ilvl w:val="1"/>
          <w:numId w:val="37"/>
        </w:numPr>
        <w:tabs>
          <w:tab w:val="left" w:pos="1134"/>
          <w:tab w:val="left" w:pos="1276"/>
          <w:tab w:val="left" w:pos="1701"/>
        </w:tabs>
        <w:spacing w:line="259" w:lineRule="auto"/>
        <w:ind w:left="0" w:firstLine="567"/>
        <w:jc w:val="both"/>
        <w:rPr>
          <w:rFonts w:ascii="Times New Roman" w:hAnsi="Times New Roman" w:cs="Times New Roman"/>
          <w:sz w:val="24"/>
          <w:szCs w:val="24"/>
          <w:lang w:val="en-GB"/>
        </w:rPr>
      </w:pPr>
      <w:r w:rsidRPr="00913D47">
        <w:rPr>
          <w:rFonts w:ascii="Times New Roman" w:hAnsi="Times New Roman" w:cs="Times New Roman"/>
          <w:sz w:val="24"/>
          <w:szCs w:val="24"/>
          <w:lang w:val="en-GB"/>
        </w:rPr>
        <w:t>cooperation agreement(s) or letter(s) of intent to cooperate with institutions organizing social security and labour, volunteering, physical activity and sports, arts, folk art or other employment-promoting activities (if applicable);</w:t>
      </w:r>
    </w:p>
    <w:p w14:paraId="1CB7BFE2" w14:textId="3D9CA59E" w:rsidR="00565546" w:rsidRPr="00463ECD" w:rsidRDefault="00463ECD" w:rsidP="00463ECD">
      <w:pPr>
        <w:pStyle w:val="ListParagraph"/>
        <w:numPr>
          <w:ilvl w:val="1"/>
          <w:numId w:val="37"/>
        </w:numPr>
        <w:tabs>
          <w:tab w:val="left" w:pos="1134"/>
        </w:tabs>
        <w:ind w:left="0" w:firstLine="567"/>
        <w:jc w:val="both"/>
        <w:rPr>
          <w:rFonts w:ascii="Times New Roman" w:hAnsi="Times New Roman" w:cs="Times New Roman"/>
          <w:sz w:val="24"/>
          <w:szCs w:val="24"/>
          <w:lang w:val="en-GB"/>
        </w:rPr>
      </w:pPr>
      <w:r w:rsidRPr="00D667E0">
        <w:rPr>
          <w:rFonts w:ascii="Times New Roman" w:hAnsi="Times New Roman" w:cs="Times New Roman"/>
          <w:sz w:val="24"/>
          <w:szCs w:val="24"/>
          <w:lang w:val="en-GB"/>
        </w:rPr>
        <w:t xml:space="preserve">the consent of the head of the institution regarding the provision of premises for the establishment of the place of provision of Well-being </w:t>
      </w:r>
      <w:r w:rsidR="00511355">
        <w:rPr>
          <w:rFonts w:ascii="Times New Roman" w:hAnsi="Times New Roman" w:cs="Times New Roman"/>
          <w:sz w:val="24"/>
          <w:szCs w:val="24"/>
          <w:lang w:val="en-GB"/>
        </w:rPr>
        <w:t>Adviser</w:t>
      </w:r>
      <w:r w:rsidRPr="00D667E0">
        <w:rPr>
          <w:rFonts w:ascii="Times New Roman" w:hAnsi="Times New Roman" w:cs="Times New Roman"/>
          <w:sz w:val="24"/>
          <w:szCs w:val="24"/>
          <w:lang w:val="en-GB"/>
        </w:rPr>
        <w:t xml:space="preserve"> services for a period not shorter than the period of the implementation of the project and of ensuring the continuity of the project (applicable if the intended premises are not owned by the applicant or partner by ownership or trust).</w:t>
      </w:r>
    </w:p>
    <w:p w14:paraId="1E86AE66" w14:textId="7271811B" w:rsidR="001F4DB2" w:rsidRPr="00106894" w:rsidRDefault="001F4D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bookmarkStart w:id="19" w:name="_Hlk60984092"/>
      <w:r w:rsidRPr="00106894">
        <w:rPr>
          <w:rFonts w:ascii="Times New Roman" w:hAnsi="Times New Roman" w:cs="Times New Roman"/>
          <w:sz w:val="24"/>
          <w:szCs w:val="24"/>
          <w:lang w:val="en-GB"/>
        </w:rPr>
        <w:t>5</w:t>
      </w:r>
      <w:r w:rsidR="00FD1A7D" w:rsidRPr="00106894">
        <w:rPr>
          <w:rFonts w:ascii="Times New Roman" w:hAnsi="Times New Roman" w:cs="Times New Roman"/>
          <w:sz w:val="24"/>
          <w:szCs w:val="24"/>
          <w:lang w:val="en-GB"/>
        </w:rPr>
        <w:t>3</w:t>
      </w:r>
      <w:r w:rsidRPr="00106894">
        <w:rPr>
          <w:rFonts w:ascii="Times New Roman" w:hAnsi="Times New Roman" w:cs="Times New Roman"/>
          <w:sz w:val="24"/>
          <w:szCs w:val="24"/>
          <w:lang w:val="en-GB"/>
        </w:rPr>
        <w:t xml:space="preserve">. </w:t>
      </w:r>
      <w:bookmarkStart w:id="20" w:name="_Hlk60984216"/>
      <w:bookmarkEnd w:id="19"/>
      <w:r w:rsidRPr="00106894">
        <w:rPr>
          <w:rFonts w:ascii="Times New Roman" w:hAnsi="Times New Roman" w:cs="Times New Roman"/>
          <w:sz w:val="24"/>
          <w:szCs w:val="24"/>
          <w:lang w:val="en-GB"/>
        </w:rPr>
        <w:t>The CPMA shall arrange the evaluation of applications following the provisions of Chapter XVII of the MAFR. The evaluation shall be done by evaluators completing evaluation tables in the forms presented in Annexes 3, 4 and 5 to the Guidelines.</w:t>
      </w:r>
    </w:p>
    <w:p w14:paraId="24BE35F3" w14:textId="77777777" w:rsidR="007C5CB0" w:rsidRPr="00106894" w:rsidRDefault="008532A7"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lastRenderedPageBreak/>
        <w:t>5</w:t>
      </w:r>
      <w:r w:rsidR="00FD1A7D" w:rsidRPr="00106894">
        <w:rPr>
          <w:rFonts w:ascii="Times New Roman" w:hAnsi="Times New Roman" w:cs="Times New Roman"/>
          <w:sz w:val="24"/>
          <w:szCs w:val="24"/>
          <w:lang w:val="en-GB"/>
        </w:rPr>
        <w:t>4</w:t>
      </w:r>
      <w:r w:rsidRPr="00106894">
        <w:rPr>
          <w:rFonts w:ascii="Times New Roman" w:hAnsi="Times New Roman" w:cs="Times New Roman"/>
          <w:sz w:val="24"/>
          <w:szCs w:val="24"/>
          <w:lang w:val="en-GB"/>
        </w:rPr>
        <w:t xml:space="preserve">. </w:t>
      </w:r>
      <w:bookmarkStart w:id="21" w:name="_Hlk60984179"/>
      <w:bookmarkEnd w:id="20"/>
      <w:r w:rsidRPr="00106894">
        <w:rPr>
          <w:rFonts w:ascii="Times New Roman" w:hAnsi="Times New Roman" w:cs="Times New Roman"/>
          <w:sz w:val="24"/>
          <w:szCs w:val="24"/>
          <w:lang w:val="en-GB"/>
        </w:rPr>
        <w:t>At the time of the evaluation of applications, the CPMA may ask the Applicant to submit the missing information and/ or documents. The Applicant shall submit this information and/or documents within the deadline set by the CPMA, which should be at least 3 working days. The CPMA and the Applicant shall correspond via DMS in the course of the evaluation.</w:t>
      </w:r>
    </w:p>
    <w:p w14:paraId="76252CA1" w14:textId="44CB80A4" w:rsidR="007967E2" w:rsidRPr="00106894" w:rsidRDefault="007C5CB0"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55. </w:t>
      </w:r>
      <w:r w:rsidR="007967E2" w:rsidRPr="00106894">
        <w:rPr>
          <w:rFonts w:ascii="Times New Roman" w:hAnsi="Times New Roman" w:cs="Times New Roman"/>
          <w:sz w:val="24"/>
          <w:szCs w:val="24"/>
          <w:lang w:val="en-GB"/>
        </w:rPr>
        <w:t xml:space="preserve">The CPMA has the right to decide which evaluation - either evaluation of the benefits and quality of projects or evaluation of the eligibility of projects - should be carried out first, or to carry out both of these evaluations simultaneously. Information on the results of the project benefit and quality evaluation phase and on the results of the phase of evaluation of the eligibility of projects published on the website </w:t>
      </w:r>
      <w:hyperlink r:id="rId20" w:history="1">
        <w:r w:rsidR="007967E2" w:rsidRPr="00106894">
          <w:rPr>
            <w:rStyle w:val="Hyperlink"/>
            <w:rFonts w:ascii="Times New Roman" w:hAnsi="Times New Roman" w:cs="Times New Roman"/>
            <w:sz w:val="24"/>
            <w:szCs w:val="24"/>
            <w:lang w:val="en-GB"/>
          </w:rPr>
          <w:t>www.eeegrants.lt</w:t>
        </w:r>
      </w:hyperlink>
      <w:r w:rsidR="007967E2" w:rsidRPr="00106894">
        <w:rPr>
          <w:rFonts w:ascii="Times New Roman" w:hAnsi="Times New Roman" w:cs="Times New Roman"/>
          <w:sz w:val="24"/>
          <w:szCs w:val="24"/>
          <w:lang w:val="en-GB"/>
        </w:rPr>
        <w:t>.</w:t>
      </w:r>
    </w:p>
    <w:p w14:paraId="00D0706B" w14:textId="343EC678" w:rsidR="007C44C8" w:rsidRPr="00106894" w:rsidRDefault="00862F3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56. </w:t>
      </w:r>
      <w:bookmarkEnd w:id="21"/>
      <w:r w:rsidRPr="00106894">
        <w:rPr>
          <w:rFonts w:ascii="Times New Roman" w:hAnsi="Times New Roman" w:cs="Times New Roman"/>
          <w:sz w:val="24"/>
          <w:szCs w:val="24"/>
          <w:lang w:val="en-GB"/>
        </w:rPr>
        <w:t xml:space="preserve">At least two independent experts </w:t>
      </w:r>
      <w:r w:rsidR="003250BD" w:rsidRPr="00106894">
        <w:rPr>
          <w:rFonts w:ascii="Times New Roman" w:hAnsi="Times New Roman" w:cs="Times New Roman"/>
          <w:sz w:val="24"/>
          <w:szCs w:val="24"/>
          <w:lang w:val="en-GB"/>
        </w:rPr>
        <w:t>will</w:t>
      </w:r>
      <w:r w:rsidRPr="00106894">
        <w:rPr>
          <w:rFonts w:ascii="Times New Roman" w:hAnsi="Times New Roman" w:cs="Times New Roman"/>
          <w:sz w:val="24"/>
          <w:szCs w:val="24"/>
          <w:lang w:val="en-GB"/>
        </w:rPr>
        <w:t xml:space="preserve"> conduct a benefit and quality evaluation. Applications </w:t>
      </w:r>
      <w:r w:rsidR="00EA4E4A" w:rsidRPr="00106894">
        <w:rPr>
          <w:rFonts w:ascii="Times New Roman" w:hAnsi="Times New Roman" w:cs="Times New Roman"/>
          <w:sz w:val="24"/>
          <w:szCs w:val="24"/>
          <w:lang w:val="en-GB"/>
        </w:rPr>
        <w:t>wi</w:t>
      </w:r>
      <w:r w:rsidRPr="00106894">
        <w:rPr>
          <w:rFonts w:ascii="Times New Roman" w:hAnsi="Times New Roman" w:cs="Times New Roman"/>
          <w:sz w:val="24"/>
          <w:szCs w:val="24"/>
          <w:lang w:val="en-GB"/>
        </w:rPr>
        <w:t xml:space="preserve">ll </w:t>
      </w:r>
      <w:r w:rsidR="00EA4E4A" w:rsidRPr="00106894">
        <w:rPr>
          <w:rFonts w:ascii="Times New Roman" w:hAnsi="Times New Roman" w:cs="Times New Roman"/>
          <w:sz w:val="24"/>
          <w:szCs w:val="24"/>
          <w:lang w:val="en-GB"/>
        </w:rPr>
        <w:t>b</w:t>
      </w:r>
      <w:r w:rsidRPr="00106894">
        <w:rPr>
          <w:rFonts w:ascii="Times New Roman" w:hAnsi="Times New Roman" w:cs="Times New Roman"/>
          <w:sz w:val="24"/>
          <w:szCs w:val="24"/>
          <w:lang w:val="en-GB"/>
        </w:rPr>
        <w:t>e evaluated in scores in accordance with priority project selection criteria</w:t>
      </w:r>
      <w:r w:rsidR="003250BD" w:rsidRPr="00106894">
        <w:rPr>
          <w:rFonts w:ascii="Times New Roman" w:hAnsi="Times New Roman" w:cs="Times New Roman"/>
          <w:sz w:val="24"/>
          <w:szCs w:val="24"/>
          <w:lang w:val="en-GB"/>
        </w:rPr>
        <w:t xml:space="preserve"> (Annex 7 to the Guidelines)</w:t>
      </w:r>
      <w:r w:rsidR="00EA4E4A" w:rsidRPr="00106894">
        <w:rPr>
          <w:rFonts w:ascii="Times New Roman" w:hAnsi="Times New Roman" w:cs="Times New Roman"/>
          <w:sz w:val="24"/>
          <w:szCs w:val="24"/>
          <w:lang w:val="en-GB"/>
        </w:rPr>
        <w:t xml:space="preserve"> </w:t>
      </w:r>
      <w:r w:rsidRPr="00106894">
        <w:rPr>
          <w:rFonts w:ascii="Times New Roman" w:hAnsi="Times New Roman" w:cs="Times New Roman"/>
          <w:sz w:val="24"/>
          <w:szCs w:val="24"/>
          <w:lang w:val="en-GB"/>
        </w:rPr>
        <w:t xml:space="preserve">which may not be changed in the course of the evaluation of projects. The maximum possible score according to each criterion is indicated in Annex </w:t>
      </w:r>
      <w:r w:rsidR="00EA4E4A" w:rsidRPr="00106894">
        <w:rPr>
          <w:rFonts w:ascii="Times New Roman" w:hAnsi="Times New Roman" w:cs="Times New Roman"/>
          <w:sz w:val="24"/>
          <w:szCs w:val="24"/>
          <w:lang w:val="en-GB"/>
        </w:rPr>
        <w:t xml:space="preserve">7 </w:t>
      </w:r>
      <w:r w:rsidRPr="00106894">
        <w:rPr>
          <w:rFonts w:ascii="Times New Roman" w:hAnsi="Times New Roman" w:cs="Times New Roman"/>
          <w:sz w:val="24"/>
          <w:szCs w:val="24"/>
          <w:lang w:val="en-GB"/>
        </w:rPr>
        <w:t>to the Guidelines.</w:t>
      </w:r>
      <w:r w:rsidR="00F75742" w:rsidRPr="00106894">
        <w:rPr>
          <w:rFonts w:ascii="Times New Roman" w:hAnsi="Times New Roman" w:cs="Times New Roman"/>
          <w:sz w:val="24"/>
          <w:szCs w:val="24"/>
          <w:lang w:val="en-GB"/>
        </w:rPr>
        <w:t xml:space="preserve"> The maximum score, which may be given according to all criteria of evaluation of the project’s bene</w:t>
      </w:r>
      <w:r w:rsidR="00D509C4">
        <w:rPr>
          <w:rFonts w:ascii="Times New Roman" w:hAnsi="Times New Roman" w:cs="Times New Roman"/>
          <w:sz w:val="24"/>
          <w:szCs w:val="24"/>
          <w:lang w:val="en-GB"/>
        </w:rPr>
        <w:t>fit and quality, shall be 100. 5</w:t>
      </w:r>
      <w:r w:rsidR="00F75742" w:rsidRPr="00106894">
        <w:rPr>
          <w:rFonts w:ascii="Times New Roman" w:hAnsi="Times New Roman" w:cs="Times New Roman"/>
          <w:sz w:val="24"/>
          <w:szCs w:val="24"/>
          <w:lang w:val="en-GB"/>
        </w:rPr>
        <w:t>0 shall be the minimum mandatory score for projects under this call.</w:t>
      </w:r>
      <w:r w:rsidR="00CD4ECF" w:rsidRPr="00106894">
        <w:rPr>
          <w:rFonts w:ascii="Times New Roman" w:hAnsi="Times New Roman" w:cs="Times New Roman"/>
          <w:sz w:val="24"/>
          <w:szCs w:val="24"/>
          <w:lang w:val="en-GB"/>
        </w:rPr>
        <w:t xml:space="preserve"> </w:t>
      </w:r>
      <w:r w:rsidR="00F75742" w:rsidRPr="00106894">
        <w:rPr>
          <w:rFonts w:ascii="Times New Roman" w:hAnsi="Times New Roman" w:cs="Times New Roman"/>
          <w:sz w:val="24"/>
          <w:szCs w:val="24"/>
          <w:lang w:val="en-GB"/>
        </w:rPr>
        <w:t xml:space="preserve">Where projects receive the same score, and the amount of funds allocated </w:t>
      </w:r>
      <w:r w:rsidR="00CD4ECF" w:rsidRPr="00106894">
        <w:rPr>
          <w:rFonts w:ascii="Times New Roman" w:hAnsi="Times New Roman" w:cs="Times New Roman"/>
          <w:sz w:val="24"/>
          <w:szCs w:val="24"/>
          <w:lang w:val="en-GB"/>
        </w:rPr>
        <w:t xml:space="preserve">for </w:t>
      </w:r>
      <w:r w:rsidR="00F75742" w:rsidRPr="00106894">
        <w:rPr>
          <w:rFonts w:ascii="Times New Roman" w:hAnsi="Times New Roman" w:cs="Times New Roman"/>
          <w:sz w:val="24"/>
          <w:szCs w:val="24"/>
          <w:lang w:val="en-GB"/>
        </w:rPr>
        <w:t xml:space="preserve">the </w:t>
      </w:r>
      <w:r w:rsidR="00CD4ECF" w:rsidRPr="00106894">
        <w:rPr>
          <w:rFonts w:ascii="Times New Roman" w:hAnsi="Times New Roman" w:cs="Times New Roman"/>
          <w:sz w:val="24"/>
          <w:szCs w:val="24"/>
          <w:lang w:val="en-GB"/>
        </w:rPr>
        <w:t>C</w:t>
      </w:r>
      <w:r w:rsidR="00F75742" w:rsidRPr="00106894">
        <w:rPr>
          <w:rFonts w:ascii="Times New Roman" w:hAnsi="Times New Roman" w:cs="Times New Roman"/>
          <w:sz w:val="24"/>
          <w:szCs w:val="24"/>
          <w:lang w:val="en-GB"/>
        </w:rPr>
        <w:t xml:space="preserve">all for </w:t>
      </w:r>
      <w:r w:rsidR="00CD4ECF" w:rsidRPr="00106894">
        <w:rPr>
          <w:rFonts w:ascii="Times New Roman" w:hAnsi="Times New Roman" w:cs="Times New Roman"/>
          <w:sz w:val="24"/>
          <w:szCs w:val="24"/>
          <w:lang w:val="en-GB"/>
        </w:rPr>
        <w:t xml:space="preserve">applications </w:t>
      </w:r>
      <w:r w:rsidR="00F75742" w:rsidRPr="00106894">
        <w:rPr>
          <w:rFonts w:ascii="Times New Roman" w:hAnsi="Times New Roman" w:cs="Times New Roman"/>
          <w:sz w:val="24"/>
          <w:szCs w:val="24"/>
          <w:lang w:val="en-GB"/>
        </w:rPr>
        <w:t>is not sufficient to finance all projects,</w:t>
      </w:r>
      <w:r w:rsidR="00CD4ECF" w:rsidRPr="00106894">
        <w:rPr>
          <w:rFonts w:ascii="Times New Roman" w:hAnsi="Times New Roman" w:cs="Times New Roman"/>
          <w:sz w:val="24"/>
          <w:szCs w:val="24"/>
          <w:lang w:val="en-GB"/>
        </w:rPr>
        <w:t xml:space="preserve"> </w:t>
      </w:r>
      <w:r w:rsidR="00F75742" w:rsidRPr="00106894">
        <w:rPr>
          <w:rFonts w:ascii="Times New Roman" w:hAnsi="Times New Roman" w:cs="Times New Roman"/>
          <w:sz w:val="24"/>
          <w:szCs w:val="24"/>
          <w:lang w:val="en-GB"/>
        </w:rPr>
        <w:t>priority shall be given to projects which score higher on the first priority selection criterion and, where projects are scored equally on this priority criterion, priority shall be given to projects which score higher on the next consecutive priority criterion.</w:t>
      </w:r>
      <w:r w:rsidR="007C44C8" w:rsidRPr="00106894">
        <w:rPr>
          <w:rFonts w:ascii="Times New Roman" w:hAnsi="Times New Roman" w:cs="Times New Roman"/>
          <w:sz w:val="24"/>
          <w:szCs w:val="24"/>
          <w:lang w:val="en-GB"/>
        </w:rPr>
        <w:t xml:space="preserve"> If, according to all priority project selection criteria, such projects are evaluated in the same way and the amount of the call for proposals is insufficient to finance all of them, they shall be arranged in sequence according to the time of receipt of an application via DMS (an application that has been received earlier is entered in a higher position in the ranking). </w:t>
      </w:r>
      <w:bookmarkStart w:id="22" w:name="_Hlk60984707"/>
      <w:r w:rsidR="007C44C8" w:rsidRPr="00106894">
        <w:rPr>
          <w:rFonts w:ascii="Times New Roman" w:hAnsi="Times New Roman" w:cs="Times New Roman"/>
          <w:sz w:val="24"/>
          <w:szCs w:val="24"/>
          <w:lang w:val="en-GB"/>
        </w:rPr>
        <w:t>Where the evaluation score</w:t>
      </w:r>
      <w:r w:rsidR="00951AA0" w:rsidRPr="00106894">
        <w:rPr>
          <w:rFonts w:ascii="Times New Roman" w:hAnsi="Times New Roman" w:cs="Times New Roman"/>
          <w:sz w:val="24"/>
          <w:szCs w:val="24"/>
          <w:lang w:val="en-GB"/>
        </w:rPr>
        <w:t xml:space="preserve">s given to the project by two evaluators </w:t>
      </w:r>
      <w:r w:rsidR="007C44C8" w:rsidRPr="00106894">
        <w:rPr>
          <w:rFonts w:ascii="Times New Roman" w:hAnsi="Times New Roman" w:cs="Times New Roman"/>
          <w:sz w:val="24"/>
          <w:szCs w:val="24"/>
          <w:lang w:val="en-GB"/>
        </w:rPr>
        <w:t>differ by more than 30 percen</w:t>
      </w:r>
      <w:r w:rsidR="00951AA0" w:rsidRPr="00106894">
        <w:rPr>
          <w:rFonts w:ascii="Times New Roman" w:hAnsi="Times New Roman" w:cs="Times New Roman"/>
          <w:sz w:val="24"/>
          <w:szCs w:val="24"/>
          <w:lang w:val="en-GB"/>
        </w:rPr>
        <w:t xml:space="preserve">t, </w:t>
      </w:r>
      <w:r w:rsidR="007C44C8" w:rsidRPr="00106894">
        <w:rPr>
          <w:rFonts w:ascii="Times New Roman" w:hAnsi="Times New Roman" w:cs="Times New Roman"/>
          <w:sz w:val="24"/>
          <w:szCs w:val="24"/>
          <w:lang w:val="en-GB"/>
        </w:rPr>
        <w:t xml:space="preserve">then the CPMA shall appoint the third independent evaluator. In such a case, the project shall be given a score </w:t>
      </w:r>
      <w:r w:rsidR="00951AA0" w:rsidRPr="00106894">
        <w:rPr>
          <w:rFonts w:ascii="Times New Roman" w:hAnsi="Times New Roman" w:cs="Times New Roman"/>
          <w:sz w:val="24"/>
          <w:szCs w:val="24"/>
          <w:lang w:val="en-GB"/>
        </w:rPr>
        <w:t xml:space="preserve">which is closest to the average of scores evaluators having given their scores to the project.  </w:t>
      </w:r>
    </w:p>
    <w:p w14:paraId="06AF03C2" w14:textId="77777777" w:rsidR="001B41B2" w:rsidRPr="00106894" w:rsidRDefault="001B41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57. Applications shall be evaluated for no more than 90 days after the deadline for the submission of applications specified in the call for applications.</w:t>
      </w:r>
    </w:p>
    <w:p w14:paraId="28358E96" w14:textId="65B4A0B3" w:rsidR="001B41B2" w:rsidRPr="00106894" w:rsidRDefault="001B41B2" w:rsidP="00071751">
      <w:pPr>
        <w:pStyle w:val="ListParagraph"/>
        <w:tabs>
          <w:tab w:val="left" w:pos="993"/>
          <w:tab w:val="left" w:pos="1134"/>
        </w:tabs>
        <w:spacing w:line="259"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58. The evaluation term may be extended by a decision of the CPMA, by informing all applicants through the DMS, if:</w:t>
      </w:r>
    </w:p>
    <w:bookmarkEnd w:id="22"/>
    <w:p w14:paraId="62D783A0" w14:textId="455490C0" w:rsidR="0038125E" w:rsidRDefault="00071751"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8125E" w:rsidRPr="00106894">
        <w:rPr>
          <w:rFonts w:ascii="Times New Roman" w:hAnsi="Times New Roman" w:cs="Times New Roman"/>
          <w:sz w:val="24"/>
          <w:szCs w:val="24"/>
          <w:lang w:val="en-GB"/>
        </w:rPr>
        <w:t>i</w:t>
      </w:r>
      <w:bookmarkStart w:id="23" w:name="_Hlk60984918"/>
      <w:r w:rsidR="0038125E" w:rsidRPr="00106894">
        <w:rPr>
          <w:rFonts w:ascii="Times New Roman" w:hAnsi="Times New Roman" w:cs="Times New Roman"/>
          <w:sz w:val="24"/>
          <w:szCs w:val="24"/>
          <w:lang w:val="en-GB"/>
        </w:rPr>
        <w:t>n case more than 100 applications were received;</w:t>
      </w:r>
    </w:p>
    <w:p w14:paraId="0BAC06E2" w14:textId="7A3A9B80" w:rsidR="0018431B" w:rsidRPr="00071751" w:rsidRDefault="00071751"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gramStart"/>
      <w:r w:rsidR="0038125E" w:rsidRPr="00071751">
        <w:rPr>
          <w:rFonts w:ascii="Times New Roman" w:hAnsi="Times New Roman" w:cs="Times New Roman"/>
          <w:sz w:val="24"/>
          <w:szCs w:val="24"/>
          <w:lang w:val="en-GB"/>
        </w:rPr>
        <w:t>in</w:t>
      </w:r>
      <w:proofErr w:type="gramEnd"/>
      <w:r w:rsidR="0038125E" w:rsidRPr="00071751">
        <w:rPr>
          <w:rFonts w:ascii="Times New Roman" w:hAnsi="Times New Roman" w:cs="Times New Roman"/>
          <w:sz w:val="24"/>
          <w:szCs w:val="24"/>
          <w:lang w:val="en-GB"/>
        </w:rPr>
        <w:t xml:space="preserve"> the evaluation of applications, Financial Mechanism Office, Program Partner, Coordinating Authority</w:t>
      </w:r>
      <w:r w:rsidR="0038125E" w:rsidRPr="00071751" w:rsidDel="00002B9F">
        <w:rPr>
          <w:rFonts w:ascii="Times New Roman" w:hAnsi="Times New Roman" w:cs="Times New Roman"/>
          <w:sz w:val="24"/>
          <w:szCs w:val="24"/>
          <w:lang w:val="en-GB"/>
        </w:rPr>
        <w:t xml:space="preserve"> </w:t>
      </w:r>
      <w:r w:rsidR="0038125E" w:rsidRPr="00071751">
        <w:rPr>
          <w:rFonts w:ascii="Times New Roman" w:hAnsi="Times New Roman" w:cs="Times New Roman"/>
          <w:sz w:val="24"/>
          <w:szCs w:val="24"/>
          <w:lang w:val="en-GB"/>
        </w:rPr>
        <w:t>or other related authorities were addressed for interpretation of certain evaluation provisions. In such a case, the evaluation term shall be extended for the period of time, which passed from the referral date till the day when a response was received.</w:t>
      </w:r>
      <w:bookmarkStart w:id="24" w:name="_Hlk60985015"/>
      <w:bookmarkEnd w:id="23"/>
    </w:p>
    <w:p w14:paraId="02510735" w14:textId="4FB6BB08" w:rsidR="0018431B" w:rsidRDefault="0018431B" w:rsidP="00BB5222">
      <w:pPr>
        <w:pStyle w:val="ListParagraph"/>
        <w:numPr>
          <w:ilvl w:val="0"/>
          <w:numId w:val="35"/>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CPMA shall make a decision on financing of projects, which were approved by the project selection committee and which are in line with the requirements of evaluation of project benefit and quality, project eligibility and administrative compliance.</w:t>
      </w:r>
    </w:p>
    <w:p w14:paraId="7D7C8132" w14:textId="7DDBFA49" w:rsidR="00BB5222" w:rsidRDefault="0018431B" w:rsidP="00BB5222">
      <w:pPr>
        <w:pStyle w:val="ListParagraph"/>
        <w:numPr>
          <w:ilvl w:val="0"/>
          <w:numId w:val="35"/>
        </w:numPr>
        <w:tabs>
          <w:tab w:val="left" w:pos="993"/>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An application shall be rejected and other criteria shall not be assesse</w:t>
      </w:r>
      <w:r w:rsidR="00DD7BC7" w:rsidRPr="00BB5222">
        <w:rPr>
          <w:rFonts w:ascii="Times New Roman" w:hAnsi="Times New Roman" w:cs="Times New Roman"/>
          <w:sz w:val="24"/>
          <w:szCs w:val="24"/>
          <w:lang w:val="en-GB"/>
        </w:rPr>
        <w:t>d</w:t>
      </w:r>
      <w:r w:rsidRPr="00BB5222">
        <w:rPr>
          <w:rFonts w:ascii="Times New Roman" w:hAnsi="Times New Roman" w:cs="Times New Roman"/>
          <w:sz w:val="24"/>
          <w:szCs w:val="24"/>
          <w:lang w:val="en-GB"/>
        </w:rPr>
        <w:t xml:space="preserve"> if it is determined that:</w:t>
      </w:r>
    </w:p>
    <w:p w14:paraId="440ADD6D" w14:textId="469FDC87"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bookmarkStart w:id="25" w:name="_Hlk60985101"/>
      <w:bookmarkEnd w:id="24"/>
      <w:r w:rsidRPr="00BB5222">
        <w:rPr>
          <w:rFonts w:ascii="Times New Roman" w:hAnsi="Times New Roman" w:cs="Times New Roman"/>
          <w:sz w:val="24"/>
          <w:szCs w:val="24"/>
          <w:lang w:val="en-GB"/>
        </w:rPr>
        <w:t>The same Applicant has submitted more than one application</w:t>
      </w:r>
      <w:r w:rsidR="00AA19E9" w:rsidRPr="00BB5222">
        <w:rPr>
          <w:rFonts w:ascii="Times New Roman" w:hAnsi="Times New Roman" w:cs="Times New Roman"/>
          <w:sz w:val="24"/>
          <w:szCs w:val="24"/>
          <w:lang w:val="en-GB"/>
        </w:rPr>
        <w:t xml:space="preserve"> (all but the first application submitted </w:t>
      </w:r>
      <w:r w:rsidR="00AA19E9" w:rsidRPr="00BB5222">
        <w:rPr>
          <w:rFonts w:ascii="Times New Roman" w:hAnsi="Times New Roman" w:cs="Times New Roman"/>
          <w:sz w:val="24"/>
          <w:szCs w:val="24"/>
          <w:lang w:val="en-GB"/>
        </w:rPr>
        <w:tab/>
        <w:t>by the same applicant shall be rejected)</w:t>
      </w:r>
      <w:r w:rsidRPr="00BB5222">
        <w:rPr>
          <w:rFonts w:ascii="Times New Roman" w:hAnsi="Times New Roman" w:cs="Times New Roman"/>
          <w:sz w:val="24"/>
          <w:szCs w:val="24"/>
          <w:lang w:val="en-GB"/>
        </w:rPr>
        <w:t>;</w:t>
      </w:r>
    </w:p>
    <w:p w14:paraId="103BAE41" w14:textId="31DF1C59"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 xml:space="preserve">The application does not meet at least one general or special project compliance criteria(eligibility) laid down in Annex </w:t>
      </w:r>
      <w:r w:rsidR="00D13667" w:rsidRPr="00BB5222">
        <w:rPr>
          <w:rFonts w:ascii="Times New Roman" w:hAnsi="Times New Roman" w:cs="Times New Roman"/>
          <w:sz w:val="24"/>
          <w:szCs w:val="24"/>
          <w:lang w:val="en-GB"/>
        </w:rPr>
        <w:t>6</w:t>
      </w:r>
      <w:r w:rsidRPr="00BB5222">
        <w:rPr>
          <w:rFonts w:ascii="Times New Roman" w:hAnsi="Times New Roman" w:cs="Times New Roman"/>
          <w:sz w:val="24"/>
          <w:szCs w:val="24"/>
          <w:lang w:val="en-GB"/>
        </w:rPr>
        <w:t xml:space="preserve"> to the Guidelines; </w:t>
      </w:r>
    </w:p>
    <w:p w14:paraId="0DB54641" w14:textId="6FD7247A" w:rsidR="00D324BB"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The Applicant does not meet at least one administrative compliance criteri</w:t>
      </w:r>
      <w:r w:rsidR="00D13667" w:rsidRPr="00BB5222">
        <w:rPr>
          <w:rFonts w:ascii="Times New Roman" w:hAnsi="Times New Roman" w:cs="Times New Roman"/>
          <w:sz w:val="24"/>
          <w:szCs w:val="24"/>
          <w:lang w:val="en-GB"/>
        </w:rPr>
        <w:t xml:space="preserve">on </w:t>
      </w:r>
      <w:r w:rsidRPr="00BB5222">
        <w:rPr>
          <w:rFonts w:ascii="Times New Roman" w:hAnsi="Times New Roman" w:cs="Times New Roman"/>
          <w:sz w:val="24"/>
          <w:szCs w:val="24"/>
          <w:lang w:val="en-GB"/>
        </w:rPr>
        <w:t xml:space="preserve">indicated in Annex </w:t>
      </w:r>
      <w:r w:rsidR="00D13667" w:rsidRPr="00BB5222">
        <w:rPr>
          <w:rFonts w:ascii="Times New Roman" w:hAnsi="Times New Roman" w:cs="Times New Roman"/>
          <w:sz w:val="24"/>
          <w:szCs w:val="24"/>
          <w:lang w:val="en-GB"/>
        </w:rPr>
        <w:t xml:space="preserve">5 </w:t>
      </w:r>
      <w:r w:rsidRPr="00BB5222">
        <w:rPr>
          <w:rFonts w:ascii="Times New Roman" w:hAnsi="Times New Roman" w:cs="Times New Roman"/>
          <w:sz w:val="24"/>
          <w:szCs w:val="24"/>
          <w:lang w:val="en-GB"/>
        </w:rPr>
        <w:t>to the Guidelines;</w:t>
      </w:r>
      <w:bookmarkEnd w:id="25"/>
    </w:p>
    <w:p w14:paraId="4C895B82" w14:textId="6C24460A" w:rsidR="00D13667" w:rsidRDefault="00D324B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lastRenderedPageBreak/>
        <w:t>The Applicant submitted misleading information in its application, or the Applicant or persons related to the application (the project planned for implementation) seek to receive information, which the CPMA considers to be confidential, or to unlawfully exert influence on evaluation results or evaluators;</w:t>
      </w:r>
    </w:p>
    <w:p w14:paraId="4C9464E1" w14:textId="2F6AFD7A" w:rsidR="00D13667" w:rsidRDefault="00173C8E"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 project scores less than 5</w:t>
      </w:r>
      <w:r w:rsidR="00D13667" w:rsidRPr="00BB5222">
        <w:rPr>
          <w:rFonts w:ascii="Times New Roman" w:hAnsi="Times New Roman" w:cs="Times New Roman"/>
          <w:sz w:val="24"/>
          <w:szCs w:val="24"/>
          <w:lang w:val="en-GB"/>
        </w:rPr>
        <w:t>0 in the evaluation of benefit and quality.</w:t>
      </w:r>
    </w:p>
    <w:p w14:paraId="1ADB8B6B" w14:textId="375276FF" w:rsidR="00167A11" w:rsidRPr="00BB5222" w:rsidRDefault="00A155DB" w:rsidP="00BB5222">
      <w:pPr>
        <w:pStyle w:val="ListParagraph"/>
        <w:numPr>
          <w:ilvl w:val="1"/>
          <w:numId w:val="35"/>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BB5222">
        <w:rPr>
          <w:rFonts w:ascii="Times New Roman" w:hAnsi="Times New Roman" w:cs="Times New Roman"/>
          <w:sz w:val="24"/>
          <w:szCs w:val="24"/>
          <w:lang w:val="en-GB"/>
        </w:rPr>
        <w:t>The Applicant has not submitted the docum</w:t>
      </w:r>
      <w:r w:rsidR="00D509C4">
        <w:rPr>
          <w:rFonts w:ascii="Times New Roman" w:hAnsi="Times New Roman" w:cs="Times New Roman"/>
          <w:sz w:val="24"/>
          <w:szCs w:val="24"/>
          <w:lang w:val="en-GB"/>
        </w:rPr>
        <w:t xml:space="preserve">ents specified in sub-clauses 52.1 - 52.4 of the </w:t>
      </w:r>
      <w:r w:rsidRPr="00BB5222">
        <w:rPr>
          <w:rFonts w:ascii="Times New Roman" w:hAnsi="Times New Roman" w:cs="Times New Roman"/>
          <w:sz w:val="24"/>
          <w:szCs w:val="24"/>
          <w:lang w:val="en-GB"/>
        </w:rPr>
        <w:t>Guidelines.</w:t>
      </w:r>
    </w:p>
    <w:p w14:paraId="5E8E328B" w14:textId="77777777" w:rsidR="001952B1" w:rsidRPr="00106894" w:rsidRDefault="0073091E"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bookmarkStart w:id="26" w:name="_Hlk60985389"/>
      <w:r w:rsidRPr="00106894">
        <w:rPr>
          <w:rFonts w:ascii="Times New Roman" w:hAnsi="Times New Roman" w:cs="Times New Roman"/>
          <w:sz w:val="24"/>
          <w:szCs w:val="24"/>
          <w:lang w:val="en-GB"/>
        </w:rPr>
        <w:t xml:space="preserve">The CPMA shall conclude a bilateral project contract with the Applicant whose project has been selected for financing from mechanism and co-financing funds. General conditions are approved by the Decree No. 2019/20-3-1 of the Deputy Director of the CPMA of 1 July 2019 “Regarding approval of the General conditions of the 2014-2021 European Economic Area financial mechanism or 2014-2021 Norwegian mechanism project contract”. Special conditions are laid down in the Annex </w:t>
      </w:r>
      <w:r w:rsidR="001952B1" w:rsidRPr="00106894">
        <w:rPr>
          <w:rFonts w:ascii="Times New Roman" w:hAnsi="Times New Roman" w:cs="Times New Roman"/>
          <w:sz w:val="24"/>
          <w:szCs w:val="24"/>
          <w:lang w:val="en-GB"/>
        </w:rPr>
        <w:t>9</w:t>
      </w:r>
      <w:r w:rsidRPr="00106894">
        <w:rPr>
          <w:rFonts w:ascii="Times New Roman" w:hAnsi="Times New Roman" w:cs="Times New Roman"/>
          <w:sz w:val="24"/>
          <w:szCs w:val="24"/>
          <w:lang w:val="en-GB"/>
        </w:rPr>
        <w:t xml:space="preserve"> to the Guidelines. </w:t>
      </w:r>
    </w:p>
    <w:p w14:paraId="730E41BC" w14:textId="77777777" w:rsidR="009601A7" w:rsidRPr="00106894" w:rsidRDefault="001952B1"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If the Applicant refuses or fails to sign a project contract within the deadline set by the CPMA or fails to fulfil the conditions that must be fulfilled before concluding a project contract within the set period of time (fails to fulfil a reservation or submit information and documents proving the fulfilment of the reservation), the Applicant will be deemed to have refused funding and the decision to fund the project shall expire.  </w:t>
      </w:r>
      <w:bookmarkEnd w:id="26"/>
    </w:p>
    <w:p w14:paraId="7D33C67D" w14:textId="31FCE9DE" w:rsidR="009601A7" w:rsidRPr="00106894" w:rsidRDefault="009601A7" w:rsidP="00071751">
      <w:pPr>
        <w:pStyle w:val="ListParagraph"/>
        <w:numPr>
          <w:ilvl w:val="0"/>
          <w:numId w:val="29"/>
        </w:numPr>
        <w:tabs>
          <w:tab w:val="left" w:pos="993"/>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 xml:space="preserve">The project contract shall be concluded, modified and terminated in accordance with the provisions of Chapter XVIII of the MAFR. </w:t>
      </w:r>
    </w:p>
    <w:p w14:paraId="4EA4B267" w14:textId="189CE048" w:rsidR="0053367D" w:rsidRDefault="0053367D" w:rsidP="00BB5222">
      <w:pPr>
        <w:pStyle w:val="ListParagraph"/>
        <w:numPr>
          <w:ilvl w:val="0"/>
          <w:numId w:val="29"/>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Project Promoter shall be responsible for the implementation of the project under the project contract.</w:t>
      </w:r>
    </w:p>
    <w:p w14:paraId="5554D6BD" w14:textId="32BEED6C" w:rsidR="00E77EF4" w:rsidRDefault="00E77EF4" w:rsidP="00E77EF4">
      <w:pPr>
        <w:pStyle w:val="ListParagraph"/>
        <w:tabs>
          <w:tab w:val="left" w:pos="993"/>
          <w:tab w:val="left" w:pos="1134"/>
        </w:tabs>
        <w:spacing w:after="120" w:line="240" w:lineRule="auto"/>
        <w:ind w:left="567"/>
        <w:jc w:val="both"/>
        <w:rPr>
          <w:rFonts w:ascii="Times New Roman" w:hAnsi="Times New Roman" w:cs="Times New Roman"/>
          <w:sz w:val="24"/>
          <w:szCs w:val="24"/>
          <w:lang w:val="en-GB"/>
        </w:rPr>
      </w:pPr>
    </w:p>
    <w:p w14:paraId="782515BB" w14:textId="77777777" w:rsidR="00FB0749" w:rsidRPr="00106894" w:rsidRDefault="00FB0749" w:rsidP="00BB5222">
      <w:pPr>
        <w:pStyle w:val="ListParagraph"/>
        <w:tabs>
          <w:tab w:val="left" w:pos="993"/>
          <w:tab w:val="left" w:pos="1134"/>
        </w:tabs>
        <w:spacing w:after="120" w:line="240" w:lineRule="auto"/>
        <w:ind w:left="0" w:firstLine="567"/>
        <w:jc w:val="both"/>
        <w:rPr>
          <w:rFonts w:ascii="Times New Roman" w:hAnsi="Times New Roman" w:cs="Times New Roman"/>
          <w:sz w:val="24"/>
          <w:szCs w:val="24"/>
          <w:lang w:val="en-GB"/>
        </w:rPr>
      </w:pPr>
      <w:bookmarkStart w:id="27" w:name="_GoBack"/>
      <w:bookmarkEnd w:id="27"/>
    </w:p>
    <w:p w14:paraId="18CF394A" w14:textId="1D67D0AE" w:rsidR="00FB0749" w:rsidRPr="00106894" w:rsidRDefault="00BB5222" w:rsidP="00BB5222">
      <w:pPr>
        <w:pStyle w:val="ListParagraph"/>
        <w:numPr>
          <w:ilvl w:val="0"/>
          <w:numId w:val="3"/>
        </w:numPr>
        <w:tabs>
          <w:tab w:val="left" w:pos="993"/>
          <w:tab w:val="left" w:pos="1134"/>
        </w:tabs>
        <w:spacing w:after="120" w:line="240" w:lineRule="auto"/>
        <w:ind w:left="0" w:firstLine="567"/>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w:t>
      </w:r>
      <w:r w:rsidR="00FB0749" w:rsidRPr="00106894">
        <w:rPr>
          <w:rFonts w:ascii="Times New Roman" w:hAnsi="Times New Roman" w:cs="Times New Roman"/>
          <w:b/>
          <w:bCs/>
          <w:sz w:val="24"/>
          <w:szCs w:val="24"/>
          <w:lang w:val="en-GB"/>
        </w:rPr>
        <w:t>FINAL PROVISIONS</w:t>
      </w:r>
    </w:p>
    <w:p w14:paraId="0F66184A" w14:textId="77777777" w:rsidR="00612AD1" w:rsidRPr="00106894" w:rsidRDefault="00612AD1" w:rsidP="00BB5222">
      <w:pPr>
        <w:pStyle w:val="ListParagraph"/>
        <w:tabs>
          <w:tab w:val="left" w:pos="993"/>
          <w:tab w:val="left" w:pos="1134"/>
        </w:tabs>
        <w:spacing w:after="120" w:line="240" w:lineRule="auto"/>
        <w:ind w:left="0" w:firstLine="567"/>
        <w:jc w:val="center"/>
        <w:rPr>
          <w:rFonts w:ascii="Times New Roman" w:hAnsi="Times New Roman" w:cs="Times New Roman"/>
          <w:b/>
          <w:bCs/>
          <w:sz w:val="24"/>
          <w:szCs w:val="24"/>
          <w:lang w:val="en-GB"/>
        </w:rPr>
      </w:pPr>
    </w:p>
    <w:p w14:paraId="079BB3EC" w14:textId="63C35193" w:rsidR="00612AD1" w:rsidRPr="00106894" w:rsidRDefault="00612AD1" w:rsidP="00BB5222">
      <w:pPr>
        <w:pStyle w:val="ListParagraph"/>
        <w:numPr>
          <w:ilvl w:val="0"/>
          <w:numId w:val="29"/>
        </w:numPr>
        <w:tabs>
          <w:tab w:val="left" w:pos="993"/>
          <w:tab w:val="left" w:pos="1134"/>
        </w:tabs>
        <w:spacing w:after="120" w:line="240" w:lineRule="auto"/>
        <w:ind w:left="0" w:firstLine="567"/>
        <w:jc w:val="both"/>
        <w:rPr>
          <w:rFonts w:ascii="Times New Roman" w:hAnsi="Times New Roman" w:cs="Times New Roman"/>
          <w:sz w:val="24"/>
          <w:szCs w:val="24"/>
          <w:lang w:val="en-GB"/>
        </w:rPr>
      </w:pPr>
      <w:r w:rsidRPr="00106894">
        <w:rPr>
          <w:rFonts w:ascii="Times New Roman" w:hAnsi="Times New Roman" w:cs="Times New Roman"/>
          <w:sz w:val="24"/>
          <w:szCs w:val="24"/>
          <w:lang w:val="en-GB"/>
        </w:rPr>
        <w:t>The Applicant (Project promoter) may appeal CPMA’s decisions in accordance with the procedure laid down in clause 429 of the MAFR.</w:t>
      </w:r>
    </w:p>
    <w:p w14:paraId="7B520B8B" w14:textId="32BD66D6" w:rsidR="00612AD1" w:rsidRDefault="00612AD1" w:rsidP="00BB5222">
      <w:pPr>
        <w:pStyle w:val="ListParagraph"/>
        <w:numPr>
          <w:ilvl w:val="0"/>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106894">
        <w:rPr>
          <w:rFonts w:ascii="Times New Roman" w:hAnsi="Times New Roman" w:cs="Times New Roman"/>
          <w:sz w:val="24"/>
          <w:szCs w:val="24"/>
          <w:lang w:val="en-GB"/>
        </w:rPr>
        <w:t>Annexes to the Guidelines:</w:t>
      </w:r>
    </w:p>
    <w:p w14:paraId="7ED2B465" w14:textId="4219AFD5" w:rsidR="00D327FB"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327FB" w:rsidRPr="00BB5222">
        <w:rPr>
          <w:rFonts w:ascii="Times New Roman" w:hAnsi="Times New Roman" w:cs="Times New Roman"/>
          <w:sz w:val="24"/>
          <w:szCs w:val="24"/>
          <w:lang w:val="en-GB"/>
        </w:rPr>
        <w:t xml:space="preserve">Description </w:t>
      </w:r>
      <w:r w:rsidR="00511355">
        <w:rPr>
          <w:rFonts w:ascii="Times New Roman" w:hAnsi="Times New Roman" w:cs="Times New Roman"/>
          <w:sz w:val="24"/>
          <w:szCs w:val="24"/>
          <w:lang w:val="en-GB"/>
        </w:rPr>
        <w:t>of the provision of Well-being A</w:t>
      </w:r>
      <w:r w:rsidR="00D327FB" w:rsidRPr="00BB5222">
        <w:rPr>
          <w:rFonts w:ascii="Times New Roman" w:hAnsi="Times New Roman" w:cs="Times New Roman"/>
          <w:sz w:val="24"/>
          <w:szCs w:val="24"/>
          <w:lang w:val="en-GB"/>
        </w:rPr>
        <w:t>dviser</w:t>
      </w:r>
      <w:r w:rsidR="00511355">
        <w:rPr>
          <w:rFonts w:ascii="Times New Roman" w:hAnsi="Times New Roman" w:cs="Times New Roman"/>
          <w:sz w:val="24"/>
          <w:szCs w:val="24"/>
          <w:lang w:val="en-GB"/>
        </w:rPr>
        <w:t>s</w:t>
      </w:r>
      <w:r w:rsidR="00D327FB" w:rsidRPr="00BB5222">
        <w:rPr>
          <w:rFonts w:ascii="Times New Roman" w:hAnsi="Times New Roman" w:cs="Times New Roman"/>
          <w:sz w:val="24"/>
          <w:szCs w:val="24"/>
          <w:lang w:val="en-GB"/>
        </w:rPr>
        <w:t xml:space="preserve"> service</w:t>
      </w:r>
      <w:r w:rsidR="0050057B" w:rsidRPr="00BB5222">
        <w:rPr>
          <w:rFonts w:ascii="Times New Roman" w:hAnsi="Times New Roman" w:cs="Times New Roman"/>
          <w:sz w:val="24"/>
          <w:szCs w:val="24"/>
          <w:lang w:val="en-GB"/>
        </w:rPr>
        <w:t xml:space="preserve">, Annex 1; </w:t>
      </w:r>
    </w:p>
    <w:p w14:paraId="648BC89B" w14:textId="6E7B596A" w:rsidR="00BB5222"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0057B" w:rsidRPr="00BB5222">
        <w:rPr>
          <w:rFonts w:ascii="Times New Roman" w:hAnsi="Times New Roman" w:cs="Times New Roman"/>
          <w:sz w:val="24"/>
          <w:szCs w:val="24"/>
          <w:lang w:val="en-GB"/>
        </w:rPr>
        <w:t>List of candidates to providers of Well-being adviser</w:t>
      </w:r>
      <w:r w:rsidR="00511355">
        <w:rPr>
          <w:rFonts w:ascii="Times New Roman" w:hAnsi="Times New Roman" w:cs="Times New Roman"/>
          <w:sz w:val="24"/>
          <w:szCs w:val="24"/>
          <w:lang w:val="en-GB"/>
        </w:rPr>
        <w:t>s</w:t>
      </w:r>
      <w:r w:rsidR="0050057B" w:rsidRPr="00BB5222">
        <w:rPr>
          <w:rFonts w:ascii="Times New Roman" w:hAnsi="Times New Roman" w:cs="Times New Roman"/>
          <w:sz w:val="24"/>
          <w:szCs w:val="24"/>
          <w:lang w:val="en-GB"/>
        </w:rPr>
        <w:t xml:space="preserve"> service, Annex 2;</w:t>
      </w:r>
    </w:p>
    <w:p w14:paraId="61C47373" w14:textId="1D202641" w:rsidR="00BB5222" w:rsidRDefault="0050057B"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 xml:space="preserve"> </w:t>
      </w:r>
      <w:r w:rsidR="00AC017D" w:rsidRPr="00BB5222">
        <w:rPr>
          <w:rFonts w:ascii="Times New Roman" w:hAnsi="Times New Roman" w:cs="Times New Roman"/>
          <w:sz w:val="24"/>
          <w:szCs w:val="24"/>
          <w:lang w:val="en-GB"/>
        </w:rPr>
        <w:t>Information on the place designated f</w:t>
      </w:r>
      <w:r w:rsidR="00511355">
        <w:rPr>
          <w:rFonts w:ascii="Times New Roman" w:hAnsi="Times New Roman" w:cs="Times New Roman"/>
          <w:sz w:val="24"/>
          <w:szCs w:val="24"/>
          <w:lang w:val="en-GB"/>
        </w:rPr>
        <w:t>or the provision of Well-being A</w:t>
      </w:r>
      <w:r w:rsidR="00AC017D" w:rsidRPr="00BB5222">
        <w:rPr>
          <w:rFonts w:ascii="Times New Roman" w:hAnsi="Times New Roman" w:cs="Times New Roman"/>
          <w:sz w:val="24"/>
          <w:szCs w:val="24"/>
          <w:lang w:val="en-GB"/>
        </w:rPr>
        <w:t>dviser</w:t>
      </w:r>
      <w:r w:rsidR="00511355">
        <w:rPr>
          <w:rFonts w:ascii="Times New Roman" w:hAnsi="Times New Roman" w:cs="Times New Roman"/>
          <w:sz w:val="24"/>
          <w:szCs w:val="24"/>
          <w:lang w:val="en-GB"/>
        </w:rPr>
        <w:t>s</w:t>
      </w:r>
      <w:r w:rsidR="00AC017D" w:rsidRPr="00BB5222">
        <w:rPr>
          <w:rFonts w:ascii="Times New Roman" w:hAnsi="Times New Roman" w:cs="Times New Roman"/>
          <w:sz w:val="24"/>
          <w:szCs w:val="24"/>
          <w:lang w:val="en-GB"/>
        </w:rPr>
        <w:t xml:space="preserve"> service, Annex 3;</w:t>
      </w:r>
    </w:p>
    <w:p w14:paraId="2DFB0019" w14:textId="15A70AE5" w:rsidR="00B129D8" w:rsidRDefault="00AC017D"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 xml:space="preserve"> </w:t>
      </w:r>
      <w:r w:rsidR="00B129D8" w:rsidRPr="00BB5222">
        <w:rPr>
          <w:rFonts w:ascii="Times New Roman" w:hAnsi="Times New Roman" w:cs="Times New Roman"/>
          <w:sz w:val="24"/>
          <w:szCs w:val="24"/>
          <w:lang w:val="en-GB"/>
        </w:rPr>
        <w:t>Typical Project Application Form (to be completed via DMS online), Annex 4;</w:t>
      </w:r>
    </w:p>
    <w:p w14:paraId="4B1AC34C" w14:textId="776F3522" w:rsidR="006D4E34"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D4E34" w:rsidRPr="00BB5222">
        <w:rPr>
          <w:rFonts w:ascii="Times New Roman" w:hAnsi="Times New Roman" w:cs="Times New Roman"/>
          <w:sz w:val="24"/>
          <w:szCs w:val="24"/>
          <w:lang w:val="en-GB"/>
        </w:rPr>
        <w:t>Administrative Compliance Evaluation Methodology (draft), Annex 5;</w:t>
      </w:r>
    </w:p>
    <w:p w14:paraId="4DF39B4D" w14:textId="6A1E5FA2" w:rsidR="00C97939"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Eligibility Evaluation Methodology, Annex 6;</w:t>
      </w:r>
    </w:p>
    <w:p w14:paraId="50865279" w14:textId="623CE2BC" w:rsidR="00C97939"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Benefit and Quality Evaluation Methodology, Annex 7;</w:t>
      </w:r>
    </w:p>
    <w:p w14:paraId="269E6438" w14:textId="0925580E" w:rsidR="00B0451A"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97939" w:rsidRPr="00BB5222">
        <w:rPr>
          <w:rFonts w:ascii="Times New Roman" w:hAnsi="Times New Roman" w:cs="Times New Roman"/>
          <w:sz w:val="24"/>
          <w:szCs w:val="24"/>
          <w:lang w:val="en-GB"/>
        </w:rPr>
        <w:t>Methodology for Calculating Monitoring Indicators, Annex 8;</w:t>
      </w:r>
    </w:p>
    <w:p w14:paraId="2B18A833" w14:textId="174D238A" w:rsidR="00B0451A" w:rsidRDefault="00BB5222" w:rsidP="00BB5222">
      <w:pPr>
        <w:pStyle w:val="ListParagraph"/>
        <w:numPr>
          <w:ilvl w:val="1"/>
          <w:numId w:val="29"/>
        </w:numPr>
        <w:tabs>
          <w:tab w:val="left" w:pos="993"/>
          <w:tab w:val="left" w:pos="1134"/>
        </w:tabs>
        <w:spacing w:after="120" w:line="240" w:lineRule="auto"/>
        <w:ind w:left="0" w:firstLine="567"/>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0451A" w:rsidRPr="00BB5222">
        <w:rPr>
          <w:rFonts w:ascii="Times New Roman" w:hAnsi="Times New Roman" w:cs="Times New Roman"/>
          <w:sz w:val="24"/>
          <w:szCs w:val="24"/>
          <w:lang w:val="en-GB"/>
        </w:rPr>
        <w:t>Draft Special Conditions of the Project contract, Annex 9;</w:t>
      </w:r>
    </w:p>
    <w:p w14:paraId="5BA587DE" w14:textId="3AD4E39F" w:rsidR="00B0451A" w:rsidRPr="00BB5222" w:rsidRDefault="00B0451A" w:rsidP="00BB5222">
      <w:pPr>
        <w:pStyle w:val="ListParagraph"/>
        <w:numPr>
          <w:ilvl w:val="1"/>
          <w:numId w:val="29"/>
        </w:numPr>
        <w:tabs>
          <w:tab w:val="left" w:pos="993"/>
          <w:tab w:val="left" w:pos="1134"/>
          <w:tab w:val="left" w:pos="1276"/>
        </w:tabs>
        <w:spacing w:after="120" w:line="240" w:lineRule="auto"/>
        <w:ind w:left="0" w:firstLine="567"/>
        <w:rPr>
          <w:rFonts w:ascii="Times New Roman" w:hAnsi="Times New Roman" w:cs="Times New Roman"/>
          <w:sz w:val="24"/>
          <w:szCs w:val="24"/>
          <w:lang w:val="en-GB"/>
        </w:rPr>
      </w:pPr>
      <w:r w:rsidRPr="00BB5222">
        <w:rPr>
          <w:rFonts w:ascii="Times New Roman" w:hAnsi="Times New Roman" w:cs="Times New Roman"/>
          <w:sz w:val="24"/>
          <w:szCs w:val="24"/>
          <w:lang w:val="en-GB"/>
        </w:rPr>
        <w:t>Recommended Market Research Summary Form and Explanations on its Completion, Annex 10.</w:t>
      </w:r>
    </w:p>
    <w:p w14:paraId="21C33B5C" w14:textId="6D46BAD9" w:rsidR="00B0451A" w:rsidRPr="00106894" w:rsidRDefault="00B0451A" w:rsidP="00E416B8">
      <w:pPr>
        <w:spacing w:after="120" w:line="240" w:lineRule="auto"/>
        <w:jc w:val="both"/>
        <w:rPr>
          <w:rFonts w:ascii="Times New Roman" w:hAnsi="Times New Roman" w:cs="Times New Roman"/>
          <w:sz w:val="24"/>
          <w:szCs w:val="24"/>
          <w:lang w:val="en-GB"/>
        </w:rPr>
      </w:pPr>
    </w:p>
    <w:p w14:paraId="02A60EAF" w14:textId="77777777" w:rsidR="005A1986" w:rsidRPr="00106894" w:rsidRDefault="005A1986" w:rsidP="005A1986">
      <w:pPr>
        <w:jc w:val="center"/>
        <w:rPr>
          <w:rFonts w:ascii="Times New Roman" w:hAnsi="Times New Roman" w:cs="Times New Roman"/>
          <w:b/>
          <w:bCs/>
          <w:sz w:val="24"/>
          <w:szCs w:val="24"/>
          <w:lang w:val="en-GB"/>
        </w:rPr>
      </w:pPr>
      <w:r w:rsidRPr="00106894">
        <w:rPr>
          <w:rFonts w:ascii="Times New Roman" w:hAnsi="Times New Roman" w:cs="Times New Roman"/>
          <w:bCs/>
          <w:sz w:val="24"/>
          <w:szCs w:val="24"/>
          <w:lang w:val="en-GB"/>
        </w:rPr>
        <w:t>______________________</w:t>
      </w:r>
    </w:p>
    <w:p w14:paraId="4D7AFF6E" w14:textId="77777777" w:rsidR="005A1986" w:rsidRPr="00106894" w:rsidRDefault="005A1986" w:rsidP="00E416B8">
      <w:pPr>
        <w:spacing w:after="120" w:line="240" w:lineRule="auto"/>
        <w:jc w:val="both"/>
        <w:rPr>
          <w:rFonts w:ascii="Times New Roman" w:hAnsi="Times New Roman" w:cs="Times New Roman"/>
          <w:sz w:val="24"/>
          <w:szCs w:val="24"/>
          <w:lang w:val="en-GB"/>
        </w:rPr>
      </w:pPr>
    </w:p>
    <w:sectPr w:rsidR="005A1986" w:rsidRPr="00106894">
      <w:pgSz w:w="12240" w:h="15840"/>
      <w:pgMar w:top="1701" w:right="567"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A9DA" w16cex:dateUtc="2021-01-08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D1CD40" w16cid:durableId="23A2A9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30CF" w14:textId="77777777" w:rsidR="00BA7FA6" w:rsidRDefault="00BA7FA6" w:rsidP="00807C69">
      <w:pPr>
        <w:spacing w:after="0" w:line="240" w:lineRule="auto"/>
      </w:pPr>
      <w:r>
        <w:separator/>
      </w:r>
    </w:p>
  </w:endnote>
  <w:endnote w:type="continuationSeparator" w:id="0">
    <w:p w14:paraId="7372C82E" w14:textId="77777777" w:rsidR="00BA7FA6" w:rsidRDefault="00BA7FA6" w:rsidP="0080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A470" w14:textId="77777777" w:rsidR="00BA7FA6" w:rsidRDefault="00BA7FA6" w:rsidP="00807C69">
      <w:pPr>
        <w:spacing w:after="0" w:line="240" w:lineRule="auto"/>
      </w:pPr>
      <w:r>
        <w:separator/>
      </w:r>
    </w:p>
  </w:footnote>
  <w:footnote w:type="continuationSeparator" w:id="0">
    <w:p w14:paraId="24CDE2B3" w14:textId="77777777" w:rsidR="00BA7FA6" w:rsidRDefault="00BA7FA6" w:rsidP="00807C69">
      <w:pPr>
        <w:spacing w:after="0" w:line="240" w:lineRule="auto"/>
      </w:pPr>
      <w:r>
        <w:continuationSeparator/>
      </w:r>
    </w:p>
  </w:footnote>
  <w:footnote w:id="1">
    <w:p w14:paraId="429AFA8F" w14:textId="689544FC" w:rsidR="00A678BF" w:rsidRDefault="00A678BF">
      <w:pPr>
        <w:pStyle w:val="FootnoteText"/>
      </w:pPr>
      <w:r w:rsidRPr="003A021B">
        <w:rPr>
          <w:rStyle w:val="FootnoteReference"/>
        </w:rPr>
        <w:footnoteRef/>
      </w:r>
      <w:r w:rsidRPr="003A021B">
        <w:t xml:space="preserve"> </w:t>
      </w:r>
      <w:r w:rsidRPr="003A021B">
        <w:rPr>
          <w:rFonts w:ascii="Times New Roman" w:hAnsi="Times New Roman" w:cs="Times New Roman"/>
          <w:lang w:val="en-GB"/>
        </w:rPr>
        <w:t>To be measured by means of a survey administered on behalf of the Financial Mechanism 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612"/>
    <w:multiLevelType w:val="multilevel"/>
    <w:tmpl w:val="46E070A2"/>
    <w:lvl w:ilvl="0">
      <w:start w:val="2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B942AE"/>
    <w:multiLevelType w:val="multilevel"/>
    <w:tmpl w:val="2F8215FA"/>
    <w:lvl w:ilvl="0">
      <w:start w:val="61"/>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95C43D5"/>
    <w:multiLevelType w:val="hybridMultilevel"/>
    <w:tmpl w:val="FF727C7A"/>
    <w:lvl w:ilvl="0" w:tplc="387E94C6">
      <w:start w:val="59"/>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BA03131"/>
    <w:multiLevelType w:val="multilevel"/>
    <w:tmpl w:val="9EB65326"/>
    <w:lvl w:ilvl="0">
      <w:start w:val="17"/>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BAD1851"/>
    <w:multiLevelType w:val="hybridMultilevel"/>
    <w:tmpl w:val="37CAB704"/>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FBC60E5"/>
    <w:multiLevelType w:val="hybridMultilevel"/>
    <w:tmpl w:val="0C0ED018"/>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10303E9F"/>
    <w:multiLevelType w:val="multilevel"/>
    <w:tmpl w:val="3E7EE5AA"/>
    <w:lvl w:ilvl="0">
      <w:start w:val="31"/>
      <w:numFmt w:val="decimal"/>
      <w:lvlText w:val="%1."/>
      <w:lvlJc w:val="left"/>
      <w:pPr>
        <w:ind w:left="360" w:hanging="360"/>
      </w:pPr>
      <w:rPr>
        <w:rFonts w:hint="default"/>
        <w:b w:val="0"/>
        <w:bCs w:val="0"/>
        <w:color w:val="auto"/>
      </w:rPr>
    </w:lvl>
    <w:lvl w:ilvl="1">
      <w:start w:val="1"/>
      <w:numFmt w:val="lowerLetter"/>
      <w:lvlText w:val="%2."/>
      <w:lvlJc w:val="left"/>
      <w:pPr>
        <w:ind w:left="792" w:hanging="432"/>
      </w:pPr>
      <w:rPr>
        <w:rFonts w:ascii="Times New Roman" w:eastAsiaTheme="minorHAnsi"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C42556"/>
    <w:multiLevelType w:val="multilevel"/>
    <w:tmpl w:val="D1681884"/>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62EE7"/>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273386"/>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7CD3D68"/>
    <w:multiLevelType w:val="multilevel"/>
    <w:tmpl w:val="E2D80F2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1C5B1271"/>
    <w:multiLevelType w:val="multilevel"/>
    <w:tmpl w:val="46E070A2"/>
    <w:lvl w:ilvl="0">
      <w:start w:val="2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20717A0"/>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8154B7"/>
    <w:multiLevelType w:val="multilevel"/>
    <w:tmpl w:val="7D5213E2"/>
    <w:lvl w:ilvl="0">
      <w:start w:val="3"/>
      <w:numFmt w:val="decimal"/>
      <w:lvlText w:val="%1."/>
      <w:lvlJc w:val="left"/>
      <w:pPr>
        <w:ind w:left="360" w:hanging="360"/>
      </w:pPr>
      <w:rPr>
        <w:rFonts w:hint="default"/>
        <w:b/>
      </w:rPr>
    </w:lvl>
    <w:lvl w:ilvl="1">
      <w:start w:val="7"/>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27D556F7"/>
    <w:multiLevelType w:val="multilevel"/>
    <w:tmpl w:val="236C274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375A92"/>
    <w:multiLevelType w:val="multilevel"/>
    <w:tmpl w:val="B7BE67FA"/>
    <w:lvl w:ilvl="0">
      <w:start w:val="24"/>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09E644A"/>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4F83D71"/>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5E7D5F"/>
    <w:multiLevelType w:val="multilevel"/>
    <w:tmpl w:val="D26C10B8"/>
    <w:lvl w:ilvl="0">
      <w:start w:val="3"/>
      <w:numFmt w:val="decimal"/>
      <w:lvlText w:val="%1."/>
      <w:lvlJc w:val="left"/>
      <w:pPr>
        <w:ind w:left="360" w:hanging="360"/>
      </w:pPr>
      <w:rPr>
        <w:rFonts w:hint="default"/>
        <w:b/>
      </w:rPr>
    </w:lvl>
    <w:lvl w:ilvl="1">
      <w:start w:val="8"/>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38FF4AF0"/>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99557E9"/>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E1793B"/>
    <w:multiLevelType w:val="hybridMultilevel"/>
    <w:tmpl w:val="C756AAB2"/>
    <w:lvl w:ilvl="0" w:tplc="5B9A88C8">
      <w:start w:val="1"/>
      <w:numFmt w:val="upperRoman"/>
      <w:lvlText w:val="%1."/>
      <w:lvlJc w:val="left"/>
      <w:pPr>
        <w:ind w:left="1080" w:hanging="720"/>
      </w:pPr>
    </w:lvl>
    <w:lvl w:ilvl="1" w:tplc="9782C900">
      <w:start w:val="4"/>
      <w:numFmt w:val="bullet"/>
      <w:lvlText w:val="•"/>
      <w:lvlJc w:val="left"/>
      <w:pPr>
        <w:ind w:left="1440" w:hanging="360"/>
      </w:pPr>
      <w:rPr>
        <w:rFonts w:ascii="Helvetica" w:eastAsiaTheme="minorHAnsi" w:hAnsi="Helvetica" w:cs="Helvetica"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C7E5D44"/>
    <w:multiLevelType w:val="hybridMultilevel"/>
    <w:tmpl w:val="9482C796"/>
    <w:lvl w:ilvl="0" w:tplc="04090019">
      <w:start w:val="1"/>
      <w:numFmt w:val="lowerLetter"/>
      <w:lvlText w:val="%1."/>
      <w:lvlJc w:val="left"/>
      <w:pPr>
        <w:ind w:left="1647" w:hanging="360"/>
      </w:p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3CA13A67"/>
    <w:multiLevelType w:val="multilevel"/>
    <w:tmpl w:val="D1681884"/>
    <w:lvl w:ilvl="0">
      <w:start w:val="1"/>
      <w:numFmt w:val="decimal"/>
      <w:lvlText w:val="%1."/>
      <w:lvlJc w:val="left"/>
      <w:pPr>
        <w:ind w:left="360" w:hanging="360"/>
      </w:pPr>
      <w:rPr>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3962D5"/>
    <w:multiLevelType w:val="multilevel"/>
    <w:tmpl w:val="970C229E"/>
    <w:lvl w:ilvl="0">
      <w:start w:val="5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2E28F3"/>
    <w:multiLevelType w:val="multilevel"/>
    <w:tmpl w:val="3E7EE5AA"/>
    <w:lvl w:ilvl="0">
      <w:start w:val="31"/>
      <w:numFmt w:val="decimal"/>
      <w:lvlText w:val="%1."/>
      <w:lvlJc w:val="left"/>
      <w:pPr>
        <w:ind w:left="360" w:hanging="360"/>
      </w:pPr>
      <w:rPr>
        <w:rFonts w:hint="default"/>
        <w:b w:val="0"/>
        <w:bCs w:val="0"/>
        <w:color w:val="auto"/>
      </w:rPr>
    </w:lvl>
    <w:lvl w:ilvl="1">
      <w:start w:val="1"/>
      <w:numFmt w:val="lowerLetter"/>
      <w:lvlText w:val="%2."/>
      <w:lvlJc w:val="left"/>
      <w:pPr>
        <w:ind w:left="792" w:hanging="432"/>
      </w:pPr>
      <w:rPr>
        <w:rFonts w:ascii="Times New Roman" w:eastAsiaTheme="minorHAnsi"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0662D5"/>
    <w:multiLevelType w:val="multilevel"/>
    <w:tmpl w:val="87649C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63742"/>
    <w:multiLevelType w:val="hybridMultilevel"/>
    <w:tmpl w:val="15968064"/>
    <w:lvl w:ilvl="0" w:tplc="A9FE017A">
      <w:start w:val="24"/>
      <w:numFmt w:val="decimal"/>
      <w:lvlText w:val="%1."/>
      <w:lvlJc w:val="left"/>
      <w:pPr>
        <w:ind w:left="644"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C224EA8"/>
    <w:multiLevelType w:val="multilevel"/>
    <w:tmpl w:val="DDA489C2"/>
    <w:lvl w:ilvl="0">
      <w:start w:val="31"/>
      <w:numFmt w:val="decimal"/>
      <w:lvlText w:val="%1."/>
      <w:lvlJc w:val="left"/>
      <w:pPr>
        <w:ind w:left="1637" w:hanging="360"/>
      </w:pPr>
      <w:rPr>
        <w:rFonts w:hint="default"/>
      </w:rPr>
    </w:lvl>
    <w:lvl w:ilvl="1">
      <w:start w:val="1"/>
      <w:numFmt w:val="decimal"/>
      <w:isLgl/>
      <w:lvlText w:val="%1.%2."/>
      <w:lvlJc w:val="left"/>
      <w:pPr>
        <w:ind w:left="1650"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1" w15:restartNumberingAfterBreak="0">
    <w:nsid w:val="5F307227"/>
    <w:multiLevelType w:val="hybridMultilevel"/>
    <w:tmpl w:val="15968064"/>
    <w:lvl w:ilvl="0" w:tplc="A9FE017A">
      <w:start w:val="2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75B4B44"/>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32003"/>
    <w:multiLevelType w:val="hybridMultilevel"/>
    <w:tmpl w:val="DE064EA4"/>
    <w:lvl w:ilvl="0" w:tplc="6D001CD0">
      <w:start w:val="1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69F66315"/>
    <w:multiLevelType w:val="multilevel"/>
    <w:tmpl w:val="F0F23D7A"/>
    <w:lvl w:ilvl="0">
      <w:start w:val="5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C6F3D38"/>
    <w:multiLevelType w:val="multilevel"/>
    <w:tmpl w:val="A1D8810A"/>
    <w:lvl w:ilvl="0">
      <w:start w:val="8"/>
      <w:numFmt w:val="decimal"/>
      <w:lvlText w:val="%1."/>
      <w:lvlJc w:val="left"/>
      <w:pPr>
        <w:ind w:left="928"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5"/>
  </w:num>
  <w:num w:numId="5">
    <w:abstractNumId w:val="11"/>
  </w:num>
  <w:num w:numId="6">
    <w:abstractNumId w:val="5"/>
  </w:num>
  <w:num w:numId="7">
    <w:abstractNumId w:val="14"/>
  </w:num>
  <w:num w:numId="8">
    <w:abstractNumId w:val="20"/>
  </w:num>
  <w:num w:numId="9">
    <w:abstractNumId w:val="8"/>
  </w:num>
  <w:num w:numId="10">
    <w:abstractNumId w:val="35"/>
  </w:num>
  <w:num w:numId="11">
    <w:abstractNumId w:val="17"/>
  </w:num>
  <w:num w:numId="12">
    <w:abstractNumId w:val="32"/>
  </w:num>
  <w:num w:numId="13">
    <w:abstractNumId w:val="33"/>
  </w:num>
  <w:num w:numId="14">
    <w:abstractNumId w:val="3"/>
  </w:num>
  <w:num w:numId="15">
    <w:abstractNumId w:val="23"/>
  </w:num>
  <w:num w:numId="16">
    <w:abstractNumId w:val="12"/>
  </w:num>
  <w:num w:numId="17">
    <w:abstractNumId w:val="29"/>
  </w:num>
  <w:num w:numId="18">
    <w:abstractNumId w:val="7"/>
  </w:num>
  <w:num w:numId="19">
    <w:abstractNumId w:val="30"/>
  </w:num>
  <w:num w:numId="20">
    <w:abstractNumId w:val="9"/>
  </w:num>
  <w:num w:numId="21">
    <w:abstractNumId w:val="13"/>
  </w:num>
  <w:num w:numId="22">
    <w:abstractNumId w:val="21"/>
  </w:num>
  <w:num w:numId="23">
    <w:abstractNumId w:val="18"/>
  </w:num>
  <w:num w:numId="24">
    <w:abstractNumId w:val="2"/>
  </w:num>
  <w:num w:numId="25">
    <w:abstractNumId w:val="6"/>
  </w:num>
  <w:num w:numId="26">
    <w:abstractNumId w:val="27"/>
  </w:num>
  <w:num w:numId="27">
    <w:abstractNumId w:val="4"/>
  </w:num>
  <w:num w:numId="28">
    <w:abstractNumId w:val="19"/>
  </w:num>
  <w:num w:numId="29">
    <w:abstractNumId w:val="1"/>
  </w:num>
  <w:num w:numId="30">
    <w:abstractNumId w:val="10"/>
  </w:num>
  <w:num w:numId="31">
    <w:abstractNumId w:val="31"/>
  </w:num>
  <w:num w:numId="32">
    <w:abstractNumId w:val="24"/>
  </w:num>
  <w:num w:numId="33">
    <w:abstractNumId w:val="28"/>
  </w:num>
  <w:num w:numId="34">
    <w:abstractNumId w:val="16"/>
  </w:num>
  <w:num w:numId="35">
    <w:abstractNumId w:val="34"/>
  </w:num>
  <w:num w:numId="36">
    <w:abstractNumId w:val="15"/>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0B"/>
    <w:rsid w:val="000013F6"/>
    <w:rsid w:val="00002CBD"/>
    <w:rsid w:val="00024FDA"/>
    <w:rsid w:val="00042B73"/>
    <w:rsid w:val="00043621"/>
    <w:rsid w:val="000445CC"/>
    <w:rsid w:val="00071751"/>
    <w:rsid w:val="00076935"/>
    <w:rsid w:val="00077369"/>
    <w:rsid w:val="0007783F"/>
    <w:rsid w:val="00090EF8"/>
    <w:rsid w:val="000964EE"/>
    <w:rsid w:val="000A0EF9"/>
    <w:rsid w:val="000A76CF"/>
    <w:rsid w:val="000B714D"/>
    <w:rsid w:val="000B7981"/>
    <w:rsid w:val="000E056A"/>
    <w:rsid w:val="000E6D18"/>
    <w:rsid w:val="000E7C80"/>
    <w:rsid w:val="00100D9B"/>
    <w:rsid w:val="00106894"/>
    <w:rsid w:val="00107B5B"/>
    <w:rsid w:val="00167A11"/>
    <w:rsid w:val="00171985"/>
    <w:rsid w:val="00173C8E"/>
    <w:rsid w:val="0018431B"/>
    <w:rsid w:val="001952B1"/>
    <w:rsid w:val="00195BD5"/>
    <w:rsid w:val="001A5EF6"/>
    <w:rsid w:val="001B0FC6"/>
    <w:rsid w:val="001B41B2"/>
    <w:rsid w:val="001D3A31"/>
    <w:rsid w:val="001E0848"/>
    <w:rsid w:val="001E395A"/>
    <w:rsid w:val="001E5344"/>
    <w:rsid w:val="001F4DB2"/>
    <w:rsid w:val="001F56B8"/>
    <w:rsid w:val="00214ECA"/>
    <w:rsid w:val="0023363E"/>
    <w:rsid w:val="00234EE8"/>
    <w:rsid w:val="002468BB"/>
    <w:rsid w:val="002555EC"/>
    <w:rsid w:val="00261F06"/>
    <w:rsid w:val="00274532"/>
    <w:rsid w:val="00277CE5"/>
    <w:rsid w:val="002826C8"/>
    <w:rsid w:val="00292B27"/>
    <w:rsid w:val="002A4E16"/>
    <w:rsid w:val="002A6F77"/>
    <w:rsid w:val="002A7A5F"/>
    <w:rsid w:val="002B4A23"/>
    <w:rsid w:val="002C16C3"/>
    <w:rsid w:val="002C73B6"/>
    <w:rsid w:val="002F507B"/>
    <w:rsid w:val="002F638F"/>
    <w:rsid w:val="00301B62"/>
    <w:rsid w:val="0031399B"/>
    <w:rsid w:val="003250BD"/>
    <w:rsid w:val="0033565D"/>
    <w:rsid w:val="0033668F"/>
    <w:rsid w:val="0033672A"/>
    <w:rsid w:val="00337CBA"/>
    <w:rsid w:val="003527B9"/>
    <w:rsid w:val="00361C37"/>
    <w:rsid w:val="00363BA7"/>
    <w:rsid w:val="00370983"/>
    <w:rsid w:val="00380563"/>
    <w:rsid w:val="0038125E"/>
    <w:rsid w:val="003A021B"/>
    <w:rsid w:val="003B4820"/>
    <w:rsid w:val="003B5B6D"/>
    <w:rsid w:val="003B6937"/>
    <w:rsid w:val="003C78BC"/>
    <w:rsid w:val="003E2D3C"/>
    <w:rsid w:val="003E614A"/>
    <w:rsid w:val="003F03D4"/>
    <w:rsid w:val="0040283F"/>
    <w:rsid w:val="00406A6E"/>
    <w:rsid w:val="00421D47"/>
    <w:rsid w:val="0042318F"/>
    <w:rsid w:val="004255C7"/>
    <w:rsid w:val="00430615"/>
    <w:rsid w:val="0043543A"/>
    <w:rsid w:val="00437D97"/>
    <w:rsid w:val="004403F4"/>
    <w:rsid w:val="00463ECD"/>
    <w:rsid w:val="00481608"/>
    <w:rsid w:val="00487D21"/>
    <w:rsid w:val="00490DA8"/>
    <w:rsid w:val="004B05EC"/>
    <w:rsid w:val="004B1492"/>
    <w:rsid w:val="004B402F"/>
    <w:rsid w:val="004C1DFE"/>
    <w:rsid w:val="004C2321"/>
    <w:rsid w:val="004C451C"/>
    <w:rsid w:val="004D132D"/>
    <w:rsid w:val="004F2F37"/>
    <w:rsid w:val="004F5113"/>
    <w:rsid w:val="0050057B"/>
    <w:rsid w:val="0050079B"/>
    <w:rsid w:val="00511355"/>
    <w:rsid w:val="0052192B"/>
    <w:rsid w:val="0053367D"/>
    <w:rsid w:val="00565546"/>
    <w:rsid w:val="005766F7"/>
    <w:rsid w:val="0057722C"/>
    <w:rsid w:val="00581A64"/>
    <w:rsid w:val="00590EA2"/>
    <w:rsid w:val="005A1986"/>
    <w:rsid w:val="005A4892"/>
    <w:rsid w:val="005B246E"/>
    <w:rsid w:val="005B61C7"/>
    <w:rsid w:val="005C5272"/>
    <w:rsid w:val="005D6B81"/>
    <w:rsid w:val="005D7CF0"/>
    <w:rsid w:val="005E7D3B"/>
    <w:rsid w:val="005F16C5"/>
    <w:rsid w:val="005F7DFD"/>
    <w:rsid w:val="006032F1"/>
    <w:rsid w:val="00607453"/>
    <w:rsid w:val="006075E0"/>
    <w:rsid w:val="00612AD1"/>
    <w:rsid w:val="00614C2D"/>
    <w:rsid w:val="00624D6B"/>
    <w:rsid w:val="00651E68"/>
    <w:rsid w:val="00652BFF"/>
    <w:rsid w:val="00660496"/>
    <w:rsid w:val="00664EF0"/>
    <w:rsid w:val="00665B1A"/>
    <w:rsid w:val="006819C5"/>
    <w:rsid w:val="006858AA"/>
    <w:rsid w:val="0069169A"/>
    <w:rsid w:val="00694A5D"/>
    <w:rsid w:val="006B2818"/>
    <w:rsid w:val="006B3E6D"/>
    <w:rsid w:val="006B793A"/>
    <w:rsid w:val="006C1EA0"/>
    <w:rsid w:val="006D4E34"/>
    <w:rsid w:val="006F4177"/>
    <w:rsid w:val="00704C4C"/>
    <w:rsid w:val="0070557F"/>
    <w:rsid w:val="00707910"/>
    <w:rsid w:val="00710DFB"/>
    <w:rsid w:val="0073091E"/>
    <w:rsid w:val="007426AF"/>
    <w:rsid w:val="007468FE"/>
    <w:rsid w:val="0075785E"/>
    <w:rsid w:val="00766422"/>
    <w:rsid w:val="00792B77"/>
    <w:rsid w:val="007967E2"/>
    <w:rsid w:val="007974B4"/>
    <w:rsid w:val="007A4380"/>
    <w:rsid w:val="007A5868"/>
    <w:rsid w:val="007A7422"/>
    <w:rsid w:val="007B6391"/>
    <w:rsid w:val="007C44C8"/>
    <w:rsid w:val="007C518C"/>
    <w:rsid w:val="007C5CB0"/>
    <w:rsid w:val="007C7B0B"/>
    <w:rsid w:val="007E59B2"/>
    <w:rsid w:val="007E61B2"/>
    <w:rsid w:val="008020E7"/>
    <w:rsid w:val="00802CB1"/>
    <w:rsid w:val="00802E02"/>
    <w:rsid w:val="00807C69"/>
    <w:rsid w:val="00820832"/>
    <w:rsid w:val="00821642"/>
    <w:rsid w:val="00834838"/>
    <w:rsid w:val="00841520"/>
    <w:rsid w:val="00851CF2"/>
    <w:rsid w:val="008532A7"/>
    <w:rsid w:val="00862F32"/>
    <w:rsid w:val="00891DB6"/>
    <w:rsid w:val="008933F0"/>
    <w:rsid w:val="008A488D"/>
    <w:rsid w:val="008A70D2"/>
    <w:rsid w:val="008B595C"/>
    <w:rsid w:val="008F48A3"/>
    <w:rsid w:val="008F7214"/>
    <w:rsid w:val="00911E58"/>
    <w:rsid w:val="00926BD3"/>
    <w:rsid w:val="009319C5"/>
    <w:rsid w:val="009370EF"/>
    <w:rsid w:val="009425F2"/>
    <w:rsid w:val="009468B4"/>
    <w:rsid w:val="00951AA0"/>
    <w:rsid w:val="009601A7"/>
    <w:rsid w:val="00961206"/>
    <w:rsid w:val="00965954"/>
    <w:rsid w:val="0096601F"/>
    <w:rsid w:val="009A533C"/>
    <w:rsid w:val="009B330A"/>
    <w:rsid w:val="009B3A56"/>
    <w:rsid w:val="009C0C70"/>
    <w:rsid w:val="009C312E"/>
    <w:rsid w:val="009E2583"/>
    <w:rsid w:val="009E5137"/>
    <w:rsid w:val="009F6171"/>
    <w:rsid w:val="00A00999"/>
    <w:rsid w:val="00A12BCB"/>
    <w:rsid w:val="00A155DB"/>
    <w:rsid w:val="00A174B7"/>
    <w:rsid w:val="00A2194C"/>
    <w:rsid w:val="00A22407"/>
    <w:rsid w:val="00A27AF6"/>
    <w:rsid w:val="00A31665"/>
    <w:rsid w:val="00A40957"/>
    <w:rsid w:val="00A434E4"/>
    <w:rsid w:val="00A45D1D"/>
    <w:rsid w:val="00A4760A"/>
    <w:rsid w:val="00A60EB7"/>
    <w:rsid w:val="00A678BF"/>
    <w:rsid w:val="00A71A3C"/>
    <w:rsid w:val="00AA19E9"/>
    <w:rsid w:val="00AA1D63"/>
    <w:rsid w:val="00AA5EED"/>
    <w:rsid w:val="00AC017D"/>
    <w:rsid w:val="00AD3761"/>
    <w:rsid w:val="00AD4D8E"/>
    <w:rsid w:val="00B0451A"/>
    <w:rsid w:val="00B06D44"/>
    <w:rsid w:val="00B11989"/>
    <w:rsid w:val="00B129D8"/>
    <w:rsid w:val="00B13E4F"/>
    <w:rsid w:val="00B52534"/>
    <w:rsid w:val="00B54D49"/>
    <w:rsid w:val="00B661C5"/>
    <w:rsid w:val="00B73526"/>
    <w:rsid w:val="00B76DEC"/>
    <w:rsid w:val="00B81CB1"/>
    <w:rsid w:val="00B91973"/>
    <w:rsid w:val="00BA439D"/>
    <w:rsid w:val="00BA4858"/>
    <w:rsid w:val="00BA5314"/>
    <w:rsid w:val="00BA53C5"/>
    <w:rsid w:val="00BA584C"/>
    <w:rsid w:val="00BA7FA6"/>
    <w:rsid w:val="00BB38AB"/>
    <w:rsid w:val="00BB5222"/>
    <w:rsid w:val="00BC596E"/>
    <w:rsid w:val="00BD4DFB"/>
    <w:rsid w:val="00BF42A9"/>
    <w:rsid w:val="00C05663"/>
    <w:rsid w:val="00C06CDD"/>
    <w:rsid w:val="00C07284"/>
    <w:rsid w:val="00C24E1B"/>
    <w:rsid w:val="00C3038C"/>
    <w:rsid w:val="00C42AA3"/>
    <w:rsid w:val="00C57B4F"/>
    <w:rsid w:val="00C7036D"/>
    <w:rsid w:val="00C87461"/>
    <w:rsid w:val="00C9488D"/>
    <w:rsid w:val="00C97939"/>
    <w:rsid w:val="00CA2E49"/>
    <w:rsid w:val="00CA4107"/>
    <w:rsid w:val="00CB4FE1"/>
    <w:rsid w:val="00CC7FC6"/>
    <w:rsid w:val="00CD4ECF"/>
    <w:rsid w:val="00CF4BF7"/>
    <w:rsid w:val="00CF7A46"/>
    <w:rsid w:val="00D0054D"/>
    <w:rsid w:val="00D03C1F"/>
    <w:rsid w:val="00D103F2"/>
    <w:rsid w:val="00D10B6A"/>
    <w:rsid w:val="00D10DA2"/>
    <w:rsid w:val="00D12F4D"/>
    <w:rsid w:val="00D13667"/>
    <w:rsid w:val="00D13CE2"/>
    <w:rsid w:val="00D22377"/>
    <w:rsid w:val="00D324BB"/>
    <w:rsid w:val="00D327FB"/>
    <w:rsid w:val="00D3393E"/>
    <w:rsid w:val="00D5044D"/>
    <w:rsid w:val="00D509C4"/>
    <w:rsid w:val="00D677AC"/>
    <w:rsid w:val="00D76BEB"/>
    <w:rsid w:val="00D85AE8"/>
    <w:rsid w:val="00D967F8"/>
    <w:rsid w:val="00DD15DC"/>
    <w:rsid w:val="00DD753E"/>
    <w:rsid w:val="00DD77B7"/>
    <w:rsid w:val="00DD7BC7"/>
    <w:rsid w:val="00E01B04"/>
    <w:rsid w:val="00E170EC"/>
    <w:rsid w:val="00E20D60"/>
    <w:rsid w:val="00E272CF"/>
    <w:rsid w:val="00E41552"/>
    <w:rsid w:val="00E416B8"/>
    <w:rsid w:val="00E42AC9"/>
    <w:rsid w:val="00E445AD"/>
    <w:rsid w:val="00E4639F"/>
    <w:rsid w:val="00E522D2"/>
    <w:rsid w:val="00E5545B"/>
    <w:rsid w:val="00E57B00"/>
    <w:rsid w:val="00E73A43"/>
    <w:rsid w:val="00E77EF4"/>
    <w:rsid w:val="00E95CA7"/>
    <w:rsid w:val="00E97E7A"/>
    <w:rsid w:val="00EA4E4A"/>
    <w:rsid w:val="00ED0D60"/>
    <w:rsid w:val="00ED334B"/>
    <w:rsid w:val="00ED65CF"/>
    <w:rsid w:val="00EE230B"/>
    <w:rsid w:val="00EF24EE"/>
    <w:rsid w:val="00F16A5A"/>
    <w:rsid w:val="00F25823"/>
    <w:rsid w:val="00F4342F"/>
    <w:rsid w:val="00F43701"/>
    <w:rsid w:val="00F515A7"/>
    <w:rsid w:val="00F56610"/>
    <w:rsid w:val="00F6207F"/>
    <w:rsid w:val="00F70532"/>
    <w:rsid w:val="00F75742"/>
    <w:rsid w:val="00FA4D34"/>
    <w:rsid w:val="00FB0749"/>
    <w:rsid w:val="00FB0D98"/>
    <w:rsid w:val="00FB5F3A"/>
    <w:rsid w:val="00FC3DC6"/>
    <w:rsid w:val="00FC7835"/>
    <w:rsid w:val="00FD1A7D"/>
    <w:rsid w:val="00FD7553"/>
    <w:rsid w:val="00FE0AAE"/>
    <w:rsid w:val="00FE1E2A"/>
    <w:rsid w:val="00FE1F3F"/>
    <w:rsid w:val="00FE3388"/>
    <w:rsid w:val="00FF704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B368"/>
  <w15:chartTrackingRefBased/>
  <w15:docId w15:val="{E9E7E6D1-EFA5-499E-A60D-46566D1C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08"/>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08"/>
    <w:pPr>
      <w:ind w:left="720"/>
      <w:contextualSpacing/>
    </w:pPr>
  </w:style>
  <w:style w:type="paragraph" w:styleId="BalloonText">
    <w:name w:val="Balloon Text"/>
    <w:basedOn w:val="Normal"/>
    <w:link w:val="BalloonTextChar"/>
    <w:uiPriority w:val="99"/>
    <w:semiHidden/>
    <w:unhideWhenUsed/>
    <w:rsid w:val="0048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08"/>
    <w:rPr>
      <w:rFonts w:ascii="Segoe UI" w:hAnsi="Segoe UI" w:cs="Segoe UI"/>
      <w:sz w:val="18"/>
      <w:szCs w:val="18"/>
      <w:lang w:val="lt-LT"/>
    </w:rPr>
  </w:style>
  <w:style w:type="character" w:customStyle="1" w:styleId="CharStyle39">
    <w:name w:val="Char Style 39"/>
    <w:basedOn w:val="DefaultParagraphFont"/>
    <w:rsid w:val="00E4639F"/>
    <w:rPr>
      <w:rFonts w:ascii="Arial" w:eastAsia="Arial" w:hAnsi="Arial" w:cs="Arial"/>
      <w:color w:val="4471C4"/>
      <w:spacing w:val="0"/>
      <w:w w:val="100"/>
      <w:position w:val="0"/>
      <w:sz w:val="18"/>
      <w:szCs w:val="18"/>
      <w:shd w:val="clear" w:color="auto" w:fill="FFFFFF"/>
      <w:lang w:val="lt-LT" w:eastAsia="lt-LT" w:bidi="lt-LT"/>
    </w:rPr>
  </w:style>
  <w:style w:type="character" w:styleId="Hyperlink">
    <w:name w:val="Hyperlink"/>
    <w:basedOn w:val="DefaultParagraphFont"/>
    <w:uiPriority w:val="99"/>
    <w:unhideWhenUsed/>
    <w:rsid w:val="002A4E16"/>
    <w:rPr>
      <w:color w:val="0563C1" w:themeColor="hyperlink"/>
      <w:u w:val="single"/>
    </w:rPr>
  </w:style>
  <w:style w:type="character" w:styleId="CommentReference">
    <w:name w:val="annotation reference"/>
    <w:basedOn w:val="DefaultParagraphFont"/>
    <w:uiPriority w:val="99"/>
    <w:semiHidden/>
    <w:unhideWhenUsed/>
    <w:rsid w:val="00A45D1D"/>
    <w:rPr>
      <w:sz w:val="16"/>
      <w:szCs w:val="16"/>
    </w:rPr>
  </w:style>
  <w:style w:type="paragraph" w:styleId="CommentText">
    <w:name w:val="annotation text"/>
    <w:basedOn w:val="Normal"/>
    <w:link w:val="CommentTextChar"/>
    <w:uiPriority w:val="99"/>
    <w:unhideWhenUsed/>
    <w:rsid w:val="00A45D1D"/>
    <w:pPr>
      <w:spacing w:line="240" w:lineRule="auto"/>
    </w:pPr>
    <w:rPr>
      <w:sz w:val="20"/>
      <w:szCs w:val="20"/>
    </w:rPr>
  </w:style>
  <w:style w:type="character" w:customStyle="1" w:styleId="CommentTextChar">
    <w:name w:val="Comment Text Char"/>
    <w:basedOn w:val="DefaultParagraphFont"/>
    <w:link w:val="CommentText"/>
    <w:uiPriority w:val="99"/>
    <w:rsid w:val="00A45D1D"/>
    <w:rPr>
      <w:sz w:val="20"/>
      <w:szCs w:val="20"/>
      <w:lang w:val="lt-LT"/>
    </w:rPr>
  </w:style>
  <w:style w:type="paragraph" w:styleId="CommentSubject">
    <w:name w:val="annotation subject"/>
    <w:basedOn w:val="CommentText"/>
    <w:next w:val="CommentText"/>
    <w:link w:val="CommentSubjectChar"/>
    <w:uiPriority w:val="99"/>
    <w:semiHidden/>
    <w:unhideWhenUsed/>
    <w:rsid w:val="00A45D1D"/>
    <w:rPr>
      <w:b/>
      <w:bCs/>
    </w:rPr>
  </w:style>
  <w:style w:type="character" w:customStyle="1" w:styleId="CommentSubjectChar">
    <w:name w:val="Comment Subject Char"/>
    <w:basedOn w:val="CommentTextChar"/>
    <w:link w:val="CommentSubject"/>
    <w:uiPriority w:val="99"/>
    <w:semiHidden/>
    <w:rsid w:val="00A45D1D"/>
    <w:rPr>
      <w:b/>
      <w:bCs/>
      <w:sz w:val="20"/>
      <w:szCs w:val="20"/>
      <w:lang w:val="lt-LT"/>
    </w:rPr>
  </w:style>
  <w:style w:type="character" w:styleId="FollowedHyperlink">
    <w:name w:val="FollowedHyperlink"/>
    <w:basedOn w:val="DefaultParagraphFont"/>
    <w:uiPriority w:val="99"/>
    <w:semiHidden/>
    <w:unhideWhenUsed/>
    <w:rsid w:val="00F70532"/>
    <w:rPr>
      <w:color w:val="954F72" w:themeColor="followedHyperlink"/>
      <w:u w:val="single"/>
    </w:rPr>
  </w:style>
  <w:style w:type="character" w:customStyle="1" w:styleId="UnresolvedMention">
    <w:name w:val="Unresolved Mention"/>
    <w:basedOn w:val="DefaultParagraphFont"/>
    <w:uiPriority w:val="99"/>
    <w:semiHidden/>
    <w:unhideWhenUsed/>
    <w:rsid w:val="007A7422"/>
    <w:rPr>
      <w:color w:val="605E5C"/>
      <w:shd w:val="clear" w:color="auto" w:fill="E1DFDD"/>
    </w:rPr>
  </w:style>
  <w:style w:type="character" w:customStyle="1" w:styleId="CharStyle38">
    <w:name w:val="Char Style 38"/>
    <w:basedOn w:val="DefaultParagraphFont"/>
    <w:rsid w:val="00B81CB1"/>
    <w:rPr>
      <w:rFonts w:ascii="Arial" w:eastAsia="Arial" w:hAnsi="Arial" w:cs="Arial"/>
      <w:color w:val="222222"/>
      <w:spacing w:val="0"/>
      <w:w w:val="100"/>
      <w:position w:val="0"/>
      <w:sz w:val="18"/>
      <w:szCs w:val="18"/>
      <w:shd w:val="clear" w:color="auto" w:fill="FFFFFF"/>
      <w:lang w:val="lt-LT" w:eastAsia="lt-LT" w:bidi="lt-LT"/>
    </w:rPr>
  </w:style>
  <w:style w:type="table" w:styleId="TableGrid">
    <w:name w:val="Table Grid"/>
    <w:basedOn w:val="TableNormal"/>
    <w:uiPriority w:val="39"/>
    <w:rsid w:val="0093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07C69"/>
    <w:rPr>
      <w:vertAlign w:val="superscript"/>
    </w:rPr>
  </w:style>
  <w:style w:type="paragraph" w:styleId="FootnoteText">
    <w:name w:val="footnote text"/>
    <w:basedOn w:val="Normal"/>
    <w:link w:val="FootnoteTextChar1"/>
    <w:uiPriority w:val="99"/>
    <w:semiHidden/>
    <w:unhideWhenUsed/>
    <w:rsid w:val="00807C69"/>
    <w:pPr>
      <w:spacing w:after="0" w:line="240" w:lineRule="auto"/>
    </w:pPr>
    <w:rPr>
      <w:sz w:val="20"/>
      <w:szCs w:val="20"/>
    </w:rPr>
  </w:style>
  <w:style w:type="character" w:customStyle="1" w:styleId="FootnoteTextChar">
    <w:name w:val="Footnote Text Char"/>
    <w:basedOn w:val="DefaultParagraphFont"/>
    <w:uiPriority w:val="99"/>
    <w:semiHidden/>
    <w:rsid w:val="00807C69"/>
    <w:rPr>
      <w:sz w:val="20"/>
      <w:szCs w:val="20"/>
      <w:lang w:val="lt-LT"/>
    </w:rPr>
  </w:style>
  <w:style w:type="character" w:customStyle="1" w:styleId="FootnoteTextChar1">
    <w:name w:val="Footnote Text Char1"/>
    <w:basedOn w:val="DefaultParagraphFont"/>
    <w:link w:val="FootnoteText"/>
    <w:uiPriority w:val="99"/>
    <w:semiHidden/>
    <w:rsid w:val="00807C69"/>
    <w:rPr>
      <w:sz w:val="20"/>
      <w:szCs w:val="20"/>
      <w:lang w:val="lt-LT"/>
    </w:rPr>
  </w:style>
  <w:style w:type="character" w:customStyle="1" w:styleId="CharStyle22">
    <w:name w:val="Char Style 22"/>
    <w:basedOn w:val="DefaultParagraphFont"/>
    <w:link w:val="Style21"/>
    <w:rsid w:val="002F507B"/>
    <w:rPr>
      <w:rFonts w:ascii="Arial" w:eastAsia="Arial" w:hAnsi="Arial" w:cs="Arial"/>
      <w:sz w:val="18"/>
      <w:szCs w:val="18"/>
      <w:shd w:val="clear" w:color="auto" w:fill="FFFFFF"/>
    </w:rPr>
  </w:style>
  <w:style w:type="paragraph" w:customStyle="1" w:styleId="Style21">
    <w:name w:val="Style 21"/>
    <w:basedOn w:val="Normal"/>
    <w:link w:val="CharStyle22"/>
    <w:rsid w:val="002F507B"/>
    <w:pPr>
      <w:widowControl w:val="0"/>
      <w:shd w:val="clear" w:color="auto" w:fill="FFFFFF"/>
      <w:spacing w:before="200" w:after="540" w:line="298" w:lineRule="exact"/>
      <w:ind w:hanging="720"/>
    </w:pPr>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9177">
      <w:bodyDiv w:val="1"/>
      <w:marLeft w:val="0"/>
      <w:marRight w:val="0"/>
      <w:marTop w:val="0"/>
      <w:marBottom w:val="0"/>
      <w:divBdr>
        <w:top w:val="none" w:sz="0" w:space="0" w:color="auto"/>
        <w:left w:val="none" w:sz="0" w:space="0" w:color="auto"/>
        <w:bottom w:val="none" w:sz="0" w:space="0" w:color="auto"/>
        <w:right w:val="none" w:sz="0" w:space="0" w:color="auto"/>
      </w:divBdr>
    </w:div>
    <w:div w:id="20337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13" Type="http://schemas.openxmlformats.org/officeDocument/2006/relationships/hyperlink" Target="http://www.esinvesticijos.lt" TargetMode="External"/><Relationship Id="rId18" Type="http://schemas.openxmlformats.org/officeDocument/2006/relationships/hyperlink" Target="http://www.eeagrants.l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s://www.cpva.lt/eee-ir-norvegijos-finansiniai-mechanizmai-2014-2021-m./dokumentai/682/act690?sqid=994b3627fada2d63b94793688db3b709c08413e2" TargetMode="External"/><Relationship Id="rId2" Type="http://schemas.openxmlformats.org/officeDocument/2006/relationships/numbering" Target="numbering.xml"/><Relationship Id="rId16" Type="http://schemas.openxmlformats.org/officeDocument/2006/relationships/hyperlink" Target="https://www.cpva.lt/eee-ir-norvegijos-finansiniai-mechanizmai-2014-2021-m./dokumentai/682/act719?sqid=994b3627fada2d63b94793688db3b709c08413e2" TargetMode="External"/><Relationship Id="rId20" Type="http://schemas.openxmlformats.org/officeDocument/2006/relationships/hyperlink" Target="http://www.eeegrant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va.lt/data/public/uploads/2019/07/template_dp_declaration-of-expenditure-claimed-by-donor-partner.docx" TargetMode="External"/><Relationship Id="rId5" Type="http://schemas.openxmlformats.org/officeDocument/2006/relationships/webSettings" Target="webSettings.xml"/><Relationship Id="rId15" Type="http://schemas.openxmlformats.org/officeDocument/2006/relationships/hyperlink" Target="http://www.cpva.lt" TargetMode="External"/><Relationship Id="rId10" Type="http://schemas.openxmlformats.org/officeDocument/2006/relationships/hyperlink" Target="https://www.cpva.lt/data/public/uploads/2019/07/template_dp_certification-of-costs-claimed-by-donor-partner.docx" TargetMode="External"/><Relationship Id="rId19" Type="http://schemas.openxmlformats.org/officeDocument/2006/relationships/hyperlink" Target="http://www.cpva.lt" TargetMode="External"/><Relationship Id="rId4" Type="http://schemas.openxmlformats.org/officeDocument/2006/relationships/settings" Target="settings.xml"/><Relationship Id="rId9" Type="http://schemas.openxmlformats.org/officeDocument/2006/relationships/hyperlink" Target="http://www.cpva.lt" TargetMode="External"/><Relationship Id="rId14" Type="http://schemas.openxmlformats.org/officeDocument/2006/relationships/hyperlink" Target="http://www.esinvesticijos.lt"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A36B-E6A3-407B-A96C-413D0216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32098</Words>
  <Characters>18296</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Lina Benetė</cp:lastModifiedBy>
  <cp:revision>12</cp:revision>
  <dcterms:created xsi:type="dcterms:W3CDTF">2021-03-15T11:55:00Z</dcterms:created>
  <dcterms:modified xsi:type="dcterms:W3CDTF">2021-04-07T07:34:00Z</dcterms:modified>
</cp:coreProperties>
</file>