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8E2C" w14:textId="7E9A1728" w:rsidR="007604D8" w:rsidRPr="00F2239D" w:rsidRDefault="00531356" w:rsidP="00BE5B87">
      <w:pPr>
        <w:spacing w:before="120"/>
        <w:jc w:val="both"/>
      </w:pPr>
      <w:r>
        <w:t>T</w:t>
      </w:r>
      <w:r w:rsidR="007604D8">
        <w:t>ipinės statybos rangos sutartys</w:t>
      </w:r>
      <w:r>
        <w:t xml:space="preserve"> nustat</w:t>
      </w:r>
      <w:r w:rsidR="00D858FD">
        <w:t>o</w:t>
      </w:r>
      <w:r>
        <w:t xml:space="preserve"> Sutarties kainos peržiūros (indeksavimo) dėl infliacijos sąlyg</w:t>
      </w:r>
      <w:r w:rsidR="00D858FD">
        <w:t>a</w:t>
      </w:r>
      <w:r>
        <w:t>s</w:t>
      </w:r>
      <w:r w:rsidR="007604D8" w:rsidRPr="007604D8">
        <w:t xml:space="preserve">. </w:t>
      </w:r>
      <w:r w:rsidR="005845F9">
        <w:t xml:space="preserve">Jose vartojamos </w:t>
      </w:r>
      <w:r w:rsidR="002252F2">
        <w:t xml:space="preserve">tokios </w:t>
      </w:r>
      <w:r w:rsidR="005845F9">
        <w:t>sąvokos</w:t>
      </w:r>
      <w:r w:rsidR="00F2239D">
        <w:t xml:space="preserve">, kaip </w:t>
      </w:r>
      <w:r w:rsidR="005845F9">
        <w:t>„</w:t>
      </w:r>
      <w:r w:rsidR="00F2239D" w:rsidRPr="00F2239D">
        <w:t>metinė infliacija</w:t>
      </w:r>
      <w:r w:rsidR="005845F9">
        <w:t>“</w:t>
      </w:r>
      <w:r w:rsidR="00F2239D" w:rsidRPr="00F2239D">
        <w:t xml:space="preserve">, </w:t>
      </w:r>
      <w:r w:rsidR="005845F9">
        <w:t>„</w:t>
      </w:r>
      <w:r w:rsidR="00F2239D" w:rsidRPr="00F2239D">
        <w:t>vidutinė metinė infliacija</w:t>
      </w:r>
      <w:r w:rsidR="005845F9">
        <w:t>“</w:t>
      </w:r>
      <w:r w:rsidR="00F2239D" w:rsidRPr="00F2239D">
        <w:t xml:space="preserve"> ir </w:t>
      </w:r>
      <w:r w:rsidR="005845F9">
        <w:t>„</w:t>
      </w:r>
      <w:r w:rsidR="00F2239D" w:rsidRPr="00F2239D">
        <w:t xml:space="preserve">statybos </w:t>
      </w:r>
      <w:r w:rsidR="005845F9" w:rsidRPr="00F2239D">
        <w:t>kain</w:t>
      </w:r>
      <w:r w:rsidR="005845F9">
        <w:t>a“</w:t>
      </w:r>
      <w:r w:rsidR="005845F9" w:rsidRPr="00F2239D">
        <w:t xml:space="preserve"> </w:t>
      </w:r>
      <w:r w:rsidR="009E3ABD">
        <w:t>yra suprantamos taip</w:t>
      </w:r>
      <w:r w:rsidR="00F2239D">
        <w:t xml:space="preserve">, kaip nurodyta </w:t>
      </w:r>
      <w:r w:rsidR="00F2239D" w:rsidRPr="00F2239D">
        <w:t xml:space="preserve">Statistikos departamento prie Lietuvos Respublikos Vyriausybės skelbiamoje informacijoje: </w:t>
      </w:r>
    </w:p>
    <w:p w14:paraId="1074ADCA" w14:textId="38464FF3" w:rsidR="00F2239D" w:rsidRDefault="00F2239D" w:rsidP="00BE5B87">
      <w:pPr>
        <w:pStyle w:val="ListParagraph"/>
        <w:numPr>
          <w:ilvl w:val="0"/>
          <w:numId w:val="3"/>
        </w:numPr>
        <w:jc w:val="both"/>
      </w:pPr>
      <w:r w:rsidRPr="00F2239D">
        <w:t xml:space="preserve">metinė infliacija </w:t>
      </w:r>
      <w:r>
        <w:t>– tai</w:t>
      </w:r>
      <w:r w:rsidRPr="00F2239D">
        <w:t xml:space="preserve"> </w:t>
      </w:r>
      <w:r w:rsidRPr="00CE79A5">
        <w:rPr>
          <w:b/>
        </w:rPr>
        <w:t>ataskaitinio mėnesio</w:t>
      </w:r>
      <w:r w:rsidRPr="00F2239D">
        <w:t xml:space="preserve"> ir </w:t>
      </w:r>
      <w:r w:rsidRPr="00CE79A5">
        <w:rPr>
          <w:b/>
        </w:rPr>
        <w:t>ankstesnių metų atitinkamo mėnesio</w:t>
      </w:r>
      <w:r w:rsidRPr="00F2239D">
        <w:t xml:space="preserve"> </w:t>
      </w:r>
      <w:r w:rsidRPr="008C0FCE">
        <w:t>vidutinio kainų lygio</w:t>
      </w:r>
      <w:r w:rsidRPr="00F2239D">
        <w:t xml:space="preserve"> </w:t>
      </w:r>
      <w:r w:rsidRPr="00EF5469">
        <w:rPr>
          <w:b/>
        </w:rPr>
        <w:t>santykinis pokytis</w:t>
      </w:r>
      <w:r w:rsidR="00AE48D1">
        <w:t xml:space="preserve"> </w:t>
      </w:r>
      <w:r w:rsidR="00750B38">
        <w:t>(</w:t>
      </w:r>
      <w:r w:rsidR="00EF5469">
        <w:t>proc.</w:t>
      </w:r>
      <w:r w:rsidR="007A609E">
        <w:t xml:space="preserve">). </w:t>
      </w:r>
      <w:r w:rsidR="007A609E" w:rsidRPr="007A609E">
        <w:t xml:space="preserve">Metinė infliacija skaičiuojama kiekvieną mėnesį. </w:t>
      </w:r>
    </w:p>
    <w:p w14:paraId="1060AA73" w14:textId="0CC8F19E" w:rsidR="00AE48D1" w:rsidRPr="00AE48D1" w:rsidRDefault="00AE48D1" w:rsidP="00BE5B87">
      <w:pPr>
        <w:pStyle w:val="ListParagraph"/>
        <w:numPr>
          <w:ilvl w:val="0"/>
          <w:numId w:val="3"/>
        </w:numPr>
        <w:jc w:val="both"/>
      </w:pPr>
      <w:r w:rsidRPr="00AE48D1">
        <w:t xml:space="preserve">vidutinė metinė infliacija </w:t>
      </w:r>
      <w:r w:rsidR="00D7376B">
        <w:t>– tai</w:t>
      </w:r>
      <w:r w:rsidR="00D7376B" w:rsidRPr="00F2239D">
        <w:t xml:space="preserve"> </w:t>
      </w:r>
      <w:r w:rsidRPr="00F965B9">
        <w:rPr>
          <w:b/>
        </w:rPr>
        <w:t>dvylikos paskutinių mėnesių</w:t>
      </w:r>
      <w:r w:rsidRPr="00AE48D1">
        <w:t xml:space="preserve"> ir atitinkamų </w:t>
      </w:r>
      <w:r w:rsidRPr="00F965B9">
        <w:rPr>
          <w:b/>
        </w:rPr>
        <w:t>ankstesnių dvylikos mėnesių</w:t>
      </w:r>
      <w:r w:rsidRPr="00AE48D1">
        <w:t xml:space="preserve"> </w:t>
      </w:r>
      <w:r w:rsidRPr="008C0FCE">
        <w:t>vidutinio kainų lygio</w:t>
      </w:r>
      <w:r w:rsidRPr="00AE48D1">
        <w:t xml:space="preserve"> </w:t>
      </w:r>
      <w:r w:rsidRPr="00F965B9">
        <w:rPr>
          <w:b/>
        </w:rPr>
        <w:t>santykinis pokytis</w:t>
      </w:r>
      <w:r w:rsidRPr="00AE48D1">
        <w:t xml:space="preserve"> </w:t>
      </w:r>
      <w:r w:rsidR="00750B38">
        <w:t xml:space="preserve">(proc.), </w:t>
      </w:r>
    </w:p>
    <w:p w14:paraId="515BEE0B" w14:textId="19F67C38" w:rsidR="00AE48D1" w:rsidRPr="00F2239D" w:rsidRDefault="006724F9" w:rsidP="00BE5B87">
      <w:pPr>
        <w:pStyle w:val="ListParagraph"/>
        <w:numPr>
          <w:ilvl w:val="0"/>
          <w:numId w:val="3"/>
        </w:numPr>
        <w:jc w:val="both"/>
      </w:pPr>
      <w:r>
        <w:t xml:space="preserve">statybos </w:t>
      </w:r>
      <w:r w:rsidR="00FE3547">
        <w:t>kaina</w:t>
      </w:r>
      <w:r w:rsidR="00FE3547" w:rsidRPr="00AE48D1">
        <w:t xml:space="preserve"> </w:t>
      </w:r>
      <w:r w:rsidR="00D7376B">
        <w:t>– tai</w:t>
      </w:r>
      <w:r w:rsidR="00D7376B" w:rsidRPr="00F2239D">
        <w:t xml:space="preserve"> </w:t>
      </w:r>
      <w:r w:rsidR="00AE48D1" w:rsidRPr="00AE48D1">
        <w:t xml:space="preserve">statybos </w:t>
      </w:r>
      <w:r w:rsidR="00AE48D1" w:rsidRPr="0097195C">
        <w:rPr>
          <w:b/>
        </w:rPr>
        <w:t>sąnaudų elementų</w:t>
      </w:r>
      <w:r w:rsidR="00AE48D1" w:rsidRPr="00AE48D1">
        <w:t xml:space="preserve"> </w:t>
      </w:r>
      <w:r w:rsidR="00FE3547">
        <w:t xml:space="preserve">kaina </w:t>
      </w:r>
      <w:r w:rsidR="00AE48D1" w:rsidRPr="00AE48D1">
        <w:t>(</w:t>
      </w:r>
      <w:r w:rsidR="00AE48D1" w:rsidRPr="0097195C">
        <w:rPr>
          <w:b/>
        </w:rPr>
        <w:t>visų statinių</w:t>
      </w:r>
      <w:r w:rsidR="00AE48D1" w:rsidRPr="00AE48D1">
        <w:t>)</w:t>
      </w:r>
      <w:r w:rsidR="00AE48D1">
        <w:t xml:space="preserve">. </w:t>
      </w:r>
    </w:p>
    <w:p w14:paraId="3D2F67D9" w14:textId="293F9C3E" w:rsidR="00F2239D" w:rsidRDefault="00C10903" w:rsidP="00BE5B87">
      <w:pPr>
        <w:spacing w:before="120"/>
        <w:jc w:val="both"/>
      </w:pPr>
      <w:r w:rsidRPr="008C0FCE">
        <w:t xml:space="preserve">Atkreiptinas dėmesys, kad </w:t>
      </w:r>
      <w:r w:rsidR="0031061E" w:rsidRPr="00C6606A">
        <w:t>metinis kainų pokytis</w:t>
      </w:r>
      <w:r w:rsidR="0031061E" w:rsidRPr="008C0FCE">
        <w:t xml:space="preserve"> statybos srityje </w:t>
      </w:r>
      <w:r w:rsidR="00636988" w:rsidRPr="008C0FCE">
        <w:t xml:space="preserve">Statistikos departamento </w:t>
      </w:r>
      <w:r w:rsidR="00082372">
        <w:t>pateikiama</w:t>
      </w:r>
      <w:r w:rsidR="0031061E">
        <w:t>s</w:t>
      </w:r>
      <w:r w:rsidR="00082372">
        <w:t xml:space="preserve"> kaip </w:t>
      </w:r>
      <w:r w:rsidR="00DF71EE" w:rsidRPr="00DF71EE">
        <w:t xml:space="preserve">statybos sąnaudų elementų kainų </w:t>
      </w:r>
      <w:r w:rsidR="00353CC7">
        <w:t xml:space="preserve">pokytis ir </w:t>
      </w:r>
      <w:r w:rsidR="00353CC7" w:rsidRPr="00BB57C8">
        <w:rPr>
          <w:u w:val="single"/>
        </w:rPr>
        <w:t xml:space="preserve">kiekvieną </w:t>
      </w:r>
      <w:r w:rsidR="00845923" w:rsidRPr="00BB57C8">
        <w:rPr>
          <w:u w:val="single"/>
        </w:rPr>
        <w:t xml:space="preserve">ataskaitinį </w:t>
      </w:r>
      <w:r w:rsidR="00353CC7" w:rsidRPr="00BB57C8">
        <w:rPr>
          <w:u w:val="single"/>
        </w:rPr>
        <w:t>mėnesį pateikiama</w:t>
      </w:r>
      <w:r w:rsidR="00E4784E" w:rsidRPr="00BB57C8">
        <w:rPr>
          <w:u w:val="single"/>
        </w:rPr>
        <w:t>s</w:t>
      </w:r>
      <w:r w:rsidR="00353CC7" w:rsidRPr="00BB57C8">
        <w:rPr>
          <w:u w:val="single"/>
        </w:rPr>
        <w:t xml:space="preserve"> tik </w:t>
      </w:r>
      <w:r w:rsidR="00D25A8B" w:rsidRPr="00BB57C8">
        <w:rPr>
          <w:u w:val="single"/>
        </w:rPr>
        <w:t xml:space="preserve">santykinis </w:t>
      </w:r>
      <w:r w:rsidR="00353CC7" w:rsidRPr="00BB57C8">
        <w:rPr>
          <w:u w:val="single"/>
        </w:rPr>
        <w:t xml:space="preserve">pokytis su </w:t>
      </w:r>
      <w:r w:rsidR="003550D7" w:rsidRPr="00BB57C8">
        <w:rPr>
          <w:u w:val="single"/>
        </w:rPr>
        <w:t>ankstesnių</w:t>
      </w:r>
      <w:r w:rsidR="00353CC7" w:rsidRPr="00BB57C8">
        <w:rPr>
          <w:u w:val="single"/>
        </w:rPr>
        <w:t xml:space="preserve"> metų atitinkamu </w:t>
      </w:r>
      <w:r w:rsidR="00845923" w:rsidRPr="00BB57C8">
        <w:rPr>
          <w:u w:val="single"/>
        </w:rPr>
        <w:t>mėnesiu</w:t>
      </w:r>
      <w:r w:rsidR="00353CC7">
        <w:t xml:space="preserve">. </w:t>
      </w:r>
      <w:r w:rsidR="003550D7" w:rsidRPr="00C6606A">
        <w:t>Vidutinis metinis kainų</w:t>
      </w:r>
      <w:r w:rsidR="003550D7" w:rsidRPr="003550D7">
        <w:t xml:space="preserve"> </w:t>
      </w:r>
      <w:r w:rsidR="003550D7" w:rsidRPr="00C6606A">
        <w:t>pokytis</w:t>
      </w:r>
      <w:r w:rsidR="003550D7" w:rsidRPr="003550D7">
        <w:t xml:space="preserve"> </w:t>
      </w:r>
      <w:r w:rsidR="003550D7">
        <w:t xml:space="preserve">statybos srityje </w:t>
      </w:r>
      <w:r w:rsidR="00B17060">
        <w:t>(</w:t>
      </w:r>
      <w:r w:rsidR="003B21EB">
        <w:t>12 paskutinių mėnesių</w:t>
      </w:r>
      <w:r w:rsidR="00D25A8B">
        <w:t xml:space="preserve"> ir </w:t>
      </w:r>
      <w:r w:rsidR="003B21EB">
        <w:t>atitinkam</w:t>
      </w:r>
      <w:r w:rsidR="00D25A8B">
        <w:t>ų</w:t>
      </w:r>
      <w:r w:rsidR="003B21EB">
        <w:t xml:space="preserve"> ankstesni</w:t>
      </w:r>
      <w:r w:rsidR="00D25A8B">
        <w:t>ų</w:t>
      </w:r>
      <w:r w:rsidR="003B21EB">
        <w:t xml:space="preserve"> 12 mėnesių</w:t>
      </w:r>
      <w:r w:rsidR="003B61B6">
        <w:t xml:space="preserve"> </w:t>
      </w:r>
      <w:r w:rsidR="003B61B6" w:rsidRPr="003B61B6">
        <w:t>santykinis pokytis</w:t>
      </w:r>
      <w:r w:rsidR="003B61B6">
        <w:t xml:space="preserve">) </w:t>
      </w:r>
      <w:r w:rsidR="00B425FA" w:rsidRPr="00BB57C8">
        <w:rPr>
          <w:u w:val="single"/>
        </w:rPr>
        <w:t xml:space="preserve">kiekvieną ataskaitinį mėnesį </w:t>
      </w:r>
      <w:r w:rsidR="00737303" w:rsidRPr="00BB57C8">
        <w:rPr>
          <w:u w:val="single"/>
        </w:rPr>
        <w:t xml:space="preserve">paprastai </w:t>
      </w:r>
      <w:r w:rsidR="003B21EB" w:rsidRPr="00BB57C8">
        <w:rPr>
          <w:u w:val="single"/>
        </w:rPr>
        <w:t>nėra paskaičiuojama</w:t>
      </w:r>
      <w:r w:rsidR="00636988" w:rsidRPr="00BB57C8">
        <w:rPr>
          <w:u w:val="single"/>
        </w:rPr>
        <w:t>s</w:t>
      </w:r>
      <w:r w:rsidR="003B21EB" w:rsidRPr="00BB57C8">
        <w:rPr>
          <w:u w:val="single"/>
        </w:rPr>
        <w:t xml:space="preserve"> ir pateikiama</w:t>
      </w:r>
      <w:r w:rsidR="00636988" w:rsidRPr="00BB57C8">
        <w:rPr>
          <w:u w:val="single"/>
        </w:rPr>
        <w:t>s</w:t>
      </w:r>
      <w:r w:rsidR="00BD0662">
        <w:t xml:space="preserve"> (</w:t>
      </w:r>
      <w:r w:rsidR="00636988">
        <w:t xml:space="preserve">jis </w:t>
      </w:r>
      <w:r w:rsidR="00BD0662">
        <w:t>pateikiama</w:t>
      </w:r>
      <w:r w:rsidR="00CD3002">
        <w:t>s</w:t>
      </w:r>
      <w:r w:rsidR="00BD0662">
        <w:t xml:space="preserve"> tik kalendoriniams metams)</w:t>
      </w:r>
      <w:r w:rsidR="003B21EB">
        <w:t xml:space="preserve">. </w:t>
      </w:r>
    </w:p>
    <w:p w14:paraId="0859C43A" w14:textId="77777777" w:rsidR="00BE5B87" w:rsidRPr="007604D8" w:rsidRDefault="00BE5B87" w:rsidP="00BE5B87">
      <w:pPr>
        <w:spacing w:before="120"/>
        <w:jc w:val="both"/>
      </w:pPr>
    </w:p>
    <w:p w14:paraId="380AD964" w14:textId="2FB80964" w:rsidR="007604D8" w:rsidRPr="007604D8" w:rsidRDefault="00BD7CF2" w:rsidP="00261BA8">
      <w:pPr>
        <w:tabs>
          <w:tab w:val="left" w:pos="4111"/>
        </w:tabs>
      </w:pPr>
      <w:r w:rsidRPr="00BD7CF2">
        <w:rPr>
          <w:noProof/>
          <w:lang w:eastAsia="lt-LT"/>
        </w:rPr>
        <w:t xml:space="preserve"> </w:t>
      </w:r>
      <w:r w:rsidRPr="00BD7CF2">
        <w:rPr>
          <w:noProof/>
          <w:lang w:eastAsia="lt-LT"/>
        </w:rPr>
        <w:drawing>
          <wp:inline distT="0" distB="0" distL="0" distR="0" wp14:anchorId="1D9515B3" wp14:editId="1CD9C9ED">
            <wp:extent cx="2301501" cy="154731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86"/>
                    <a:stretch/>
                  </pic:blipFill>
                  <pic:spPr bwMode="auto">
                    <a:xfrm>
                      <a:off x="0" y="0"/>
                      <a:ext cx="2345966" cy="157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BA8">
        <w:rPr>
          <w:noProof/>
          <w:lang w:eastAsia="lt-LT"/>
        </w:rPr>
        <w:tab/>
      </w:r>
      <w:r w:rsidR="00261BA8">
        <w:rPr>
          <w:noProof/>
          <w:lang w:eastAsia="lt-LT"/>
        </w:rPr>
        <w:drawing>
          <wp:inline distT="0" distB="0" distL="0" distR="0" wp14:anchorId="424D1120" wp14:editId="2CD729B1">
            <wp:extent cx="2875445" cy="1909582"/>
            <wp:effectExtent l="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2955"/>
                    <a:stretch/>
                  </pic:blipFill>
                  <pic:spPr bwMode="auto">
                    <a:xfrm>
                      <a:off x="0" y="0"/>
                      <a:ext cx="2887437" cy="1917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C2D54" w14:textId="6113D318" w:rsidR="00CD0C36" w:rsidRDefault="00CD0C36" w:rsidP="00C60995">
      <w:pPr>
        <w:spacing w:before="120"/>
      </w:pPr>
      <w:r w:rsidRPr="00C8106F">
        <w:rPr>
          <w:noProof/>
          <w:lang w:eastAsia="lt-LT"/>
        </w:rPr>
        <w:drawing>
          <wp:inline distT="0" distB="0" distL="0" distR="0" wp14:anchorId="509628EB" wp14:editId="293CD2D5">
            <wp:extent cx="4621585" cy="3236581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090"/>
                    <a:stretch/>
                  </pic:blipFill>
                  <pic:spPr bwMode="auto">
                    <a:xfrm>
                      <a:off x="0" y="0"/>
                      <a:ext cx="4621585" cy="323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F1619" w14:textId="3470C0A4" w:rsidR="00BE5B87" w:rsidRDefault="00BE5B87" w:rsidP="00C60995">
      <w:pPr>
        <w:spacing w:before="120"/>
      </w:pPr>
    </w:p>
    <w:p w14:paraId="649B23C0" w14:textId="2EB7643A" w:rsidR="00901CC0" w:rsidRDefault="00901CC0">
      <w:pPr>
        <w:spacing w:after="160" w:line="259" w:lineRule="auto"/>
      </w:pPr>
      <w:r>
        <w:br w:type="page"/>
      </w:r>
    </w:p>
    <w:p w14:paraId="4C8CD8FD" w14:textId="77777777" w:rsidR="00901CC0" w:rsidRDefault="00901CC0" w:rsidP="00C60995">
      <w:pPr>
        <w:spacing w:before="120"/>
      </w:pPr>
    </w:p>
    <w:p w14:paraId="7C91261D" w14:textId="3D2B86FD" w:rsidR="007604D8" w:rsidRDefault="00870295" w:rsidP="00BE5B87">
      <w:pPr>
        <w:spacing w:before="120"/>
        <w:jc w:val="both"/>
      </w:pPr>
      <w:r>
        <w:t>Tam</w:t>
      </w:r>
      <w:r w:rsidR="00B425FA">
        <w:t>,</w:t>
      </w:r>
      <w:r>
        <w:t xml:space="preserve"> kad pagal sutartį </w:t>
      </w:r>
      <w:r w:rsidR="000538B1">
        <w:t xml:space="preserve">kiekvieną mėnesį </w:t>
      </w:r>
      <w:r>
        <w:t xml:space="preserve">paskaičiuoti </w:t>
      </w:r>
      <w:r w:rsidRPr="00870295">
        <w:t xml:space="preserve">statybos kainų vidutinę metinę infliaciją/defliaciją </w:t>
      </w:r>
      <w:r w:rsidR="008F7994">
        <w:t>(</w:t>
      </w:r>
      <w:r w:rsidRPr="00870295">
        <w:t xml:space="preserve">arba </w:t>
      </w:r>
      <w:r>
        <w:t xml:space="preserve">kaip pagal </w:t>
      </w:r>
      <w:r w:rsidRPr="00F2239D">
        <w:t>Statistikos departamento skelbiam</w:t>
      </w:r>
      <w:r>
        <w:t>ą</w:t>
      </w:r>
      <w:r w:rsidRPr="00F2239D">
        <w:t xml:space="preserve"> informacij</w:t>
      </w:r>
      <w:r>
        <w:t>ą –</w:t>
      </w:r>
      <w:r w:rsidR="001D7120">
        <w:t xml:space="preserve"> </w:t>
      </w:r>
      <w:r w:rsidR="00F656ED">
        <w:t xml:space="preserve">vidutinį metinį </w:t>
      </w:r>
      <w:r w:rsidR="005817FA" w:rsidRPr="00870295">
        <w:t xml:space="preserve">visų statinių </w:t>
      </w:r>
      <w:r w:rsidRPr="00870295">
        <w:t>statybos sąnaudų elementų kainų pokytį</w:t>
      </w:r>
      <w:r w:rsidR="008F7994">
        <w:t xml:space="preserve">), </w:t>
      </w:r>
      <w:r>
        <w:t xml:space="preserve">reikia </w:t>
      </w:r>
      <w:r w:rsidR="00277F41">
        <w:t xml:space="preserve">atlikti </w:t>
      </w:r>
      <w:r w:rsidR="00277F41" w:rsidRPr="00357EA2">
        <w:rPr>
          <w:b/>
        </w:rPr>
        <w:t>atskirą</w:t>
      </w:r>
      <w:r w:rsidR="00277F41">
        <w:t xml:space="preserve"> paskaičiavimą remiantis </w:t>
      </w:r>
      <w:r w:rsidR="00B5020E" w:rsidRPr="00F2239D">
        <w:t xml:space="preserve">Statistikos departamento </w:t>
      </w:r>
      <w:r w:rsidR="00B5020E" w:rsidRPr="004C0C4B">
        <w:rPr>
          <w:u w:val="single"/>
        </w:rPr>
        <w:t>skelbiamais duomenimis</w:t>
      </w:r>
      <w:r w:rsidR="00F656ED" w:rsidRPr="004C0C4B">
        <w:rPr>
          <w:u w:val="single"/>
        </w:rPr>
        <w:t xml:space="preserve"> dėl </w:t>
      </w:r>
      <w:r w:rsidR="008F7994" w:rsidRPr="004C0C4B">
        <w:rPr>
          <w:u w:val="single"/>
        </w:rPr>
        <w:t xml:space="preserve">kiekvieną </w:t>
      </w:r>
      <w:r w:rsidR="00CA4BB4" w:rsidRPr="004C0C4B">
        <w:rPr>
          <w:u w:val="single"/>
        </w:rPr>
        <w:t>einamąjį ataskaitinį</w:t>
      </w:r>
      <w:r w:rsidR="0061276B" w:rsidRPr="004C0C4B">
        <w:rPr>
          <w:u w:val="single"/>
        </w:rPr>
        <w:t xml:space="preserve"> </w:t>
      </w:r>
      <w:r w:rsidR="008F7994" w:rsidRPr="004C0C4B">
        <w:rPr>
          <w:u w:val="single"/>
        </w:rPr>
        <w:t xml:space="preserve">mėnesį skaičiuojamo </w:t>
      </w:r>
      <w:r w:rsidR="00F656ED" w:rsidRPr="005E2633">
        <w:rPr>
          <w:u w:val="single"/>
        </w:rPr>
        <w:t xml:space="preserve">metinio </w:t>
      </w:r>
      <w:r w:rsidR="005E2633" w:rsidRPr="005E2633">
        <w:rPr>
          <w:u w:val="single"/>
        </w:rPr>
        <w:t xml:space="preserve">visų statinių </w:t>
      </w:r>
      <w:r w:rsidR="00F656ED" w:rsidRPr="005E2633">
        <w:rPr>
          <w:u w:val="single"/>
        </w:rPr>
        <w:t>statybos</w:t>
      </w:r>
      <w:r w:rsidR="00F656ED" w:rsidRPr="004C0C4B">
        <w:rPr>
          <w:u w:val="single"/>
        </w:rPr>
        <w:t xml:space="preserve"> sąnaudų elementų kainų pokyčio</w:t>
      </w:r>
      <w:r w:rsidR="00A05754">
        <w:rPr>
          <w:u w:val="single"/>
        </w:rPr>
        <w:t xml:space="preserve"> – </w:t>
      </w:r>
      <w:hyperlink r:id="rId11" w:anchor="/" w:history="1">
        <w:r w:rsidR="00A05754" w:rsidRPr="00203924">
          <w:rPr>
            <w:rFonts w:ascii="Times New Roman" w:hAnsi="Times New Roman"/>
            <w:i/>
          </w:rPr>
          <w:t>Rodiklių duomenų bazė - Oficialiosios statistikos portalas</w:t>
        </w:r>
      </w:hyperlink>
      <w:r w:rsidR="00A05754" w:rsidRPr="00203924">
        <w:rPr>
          <w:rFonts w:ascii="Times New Roman" w:hAnsi="Times New Roman"/>
          <w:i/>
        </w:rPr>
        <w:t xml:space="preserve"> (Ūkis ir finansai (makroekonomika)/Kainų indeksai, pokyčiai ir kainos/Statybos sąnaudų elementų kainų indeksai (SSKI), kainų pokyčiai ir svoriai/ Statybos sąnaudų elementų kainų pokyčiai/ Statybos sąnaudų elementų kainų pokyčiai)</w:t>
      </w:r>
      <w:r w:rsidR="00943319" w:rsidRPr="00943319">
        <w:t xml:space="preserve">, </w:t>
      </w:r>
      <w:r w:rsidR="00943319">
        <w:t>pavyzdžiui</w:t>
      </w:r>
      <w:r w:rsidR="00B5020E">
        <w:t xml:space="preserve">: </w:t>
      </w:r>
    </w:p>
    <w:p w14:paraId="1A57D0E0" w14:textId="49E66456" w:rsidR="00901CC0" w:rsidRDefault="00E9253B" w:rsidP="00C60995">
      <w:pPr>
        <w:spacing w:before="120"/>
      </w:pPr>
      <w:r>
        <w:rPr>
          <w:noProof/>
        </w:rPr>
        <w:object w:dxaOrig="1440" w:dyaOrig="1440" w14:anchorId="7EB9B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15pt;margin-top:39.55pt;width:448.65pt;height:481.55pt;z-index:251659264;mso-position-horizontal-relative:text;mso-position-vertical-relative:text">
            <v:imagedata r:id="rId12" o:title=""/>
            <w10:wrap type="square" side="right"/>
          </v:shape>
          <o:OLEObject Type="Embed" ProgID="Excel.Sheet.12" ShapeID="_x0000_s1026" DrawAspect="Content" ObjectID="_1707896941" r:id="rId13"/>
        </w:object>
      </w:r>
    </w:p>
    <w:p w14:paraId="40F07643" w14:textId="2DD10780" w:rsidR="00343B92" w:rsidRDefault="00343B92" w:rsidP="00C60995">
      <w:pPr>
        <w:spacing w:before="120"/>
      </w:pPr>
    </w:p>
    <w:p w14:paraId="64F39E38" w14:textId="77777777" w:rsidR="00343B92" w:rsidRDefault="00343B92" w:rsidP="00C60995">
      <w:pPr>
        <w:spacing w:before="120"/>
      </w:pPr>
      <w:bookmarkStart w:id="0" w:name="_GoBack"/>
      <w:bookmarkEnd w:id="0"/>
    </w:p>
    <w:p w14:paraId="2A4B5F3B" w14:textId="0491DE23" w:rsidR="00901CC0" w:rsidRDefault="00901CC0">
      <w:pPr>
        <w:spacing w:after="160" w:line="259" w:lineRule="auto"/>
      </w:pPr>
      <w:r>
        <w:br w:type="page"/>
      </w:r>
    </w:p>
    <w:p w14:paraId="461DE974" w14:textId="77777777" w:rsidR="00901CC0" w:rsidRDefault="00901CC0" w:rsidP="00C60995">
      <w:pPr>
        <w:spacing w:before="120"/>
      </w:pPr>
    </w:p>
    <w:p w14:paraId="60AEBC27" w14:textId="0C22B376" w:rsidR="00B5020E" w:rsidRDefault="00357EA2" w:rsidP="0032297F">
      <w:pPr>
        <w:spacing w:before="120"/>
        <w:jc w:val="both"/>
      </w:pPr>
      <w:r w:rsidRPr="00824617">
        <w:t xml:space="preserve">Siekiant </w:t>
      </w:r>
      <w:r w:rsidR="00495C79" w:rsidRPr="00824617">
        <w:t xml:space="preserve">tiksliai </w:t>
      </w:r>
      <w:r w:rsidR="00503AA9" w:rsidRPr="00824617">
        <w:t>apskaičiuot</w:t>
      </w:r>
      <w:r w:rsidR="00503AA9">
        <w:t>i</w:t>
      </w:r>
      <w:r w:rsidR="00503AA9" w:rsidRPr="00824617">
        <w:t xml:space="preserve"> </w:t>
      </w:r>
      <w:r w:rsidR="00CA4BB4" w:rsidRPr="00824617">
        <w:t xml:space="preserve">einamojo ataskaitinio mėnesio </w:t>
      </w:r>
      <w:r w:rsidR="00B931B5" w:rsidRPr="00824617">
        <w:t xml:space="preserve">visų statinių </w:t>
      </w:r>
      <w:r w:rsidRPr="00824617">
        <w:t>12 paskutinių mėnesių</w:t>
      </w:r>
      <w:r w:rsidR="003550D7" w:rsidRPr="00824617">
        <w:t xml:space="preserve"> ir a</w:t>
      </w:r>
      <w:r w:rsidRPr="00824617">
        <w:t>titinkam</w:t>
      </w:r>
      <w:r w:rsidR="003550D7" w:rsidRPr="00824617">
        <w:t>ų</w:t>
      </w:r>
      <w:r w:rsidRPr="00824617">
        <w:t xml:space="preserve"> ankstesni</w:t>
      </w:r>
      <w:r w:rsidR="003550D7" w:rsidRPr="00824617">
        <w:t>ų</w:t>
      </w:r>
      <w:r w:rsidRPr="00824617">
        <w:t xml:space="preserve"> 12 mėnesių</w:t>
      </w:r>
      <w:r w:rsidR="009A4406" w:rsidRPr="00824617">
        <w:t xml:space="preserve"> santykinį statybos sąnaudų </w:t>
      </w:r>
      <w:r w:rsidR="007E73AC" w:rsidRPr="00824617">
        <w:t xml:space="preserve">elementų kainų </w:t>
      </w:r>
      <w:r w:rsidR="00503AA9" w:rsidRPr="00824617">
        <w:t>pokyt</w:t>
      </w:r>
      <w:r w:rsidR="00503AA9">
        <w:t xml:space="preserve">į </w:t>
      </w:r>
      <w:r w:rsidR="00175163">
        <w:t>(</w:t>
      </w:r>
      <w:r w:rsidR="00175163">
        <w:rPr>
          <w:szCs w:val="24"/>
        </w:rPr>
        <w:t>kaip vidutin</w:t>
      </w:r>
      <w:r w:rsidR="00503AA9">
        <w:rPr>
          <w:szCs w:val="24"/>
        </w:rPr>
        <w:t>į</w:t>
      </w:r>
      <w:r w:rsidR="00175163">
        <w:rPr>
          <w:szCs w:val="24"/>
        </w:rPr>
        <w:t xml:space="preserve"> metin</w:t>
      </w:r>
      <w:r w:rsidR="00503AA9">
        <w:rPr>
          <w:szCs w:val="24"/>
        </w:rPr>
        <w:t>į</w:t>
      </w:r>
      <w:r w:rsidR="00175163">
        <w:rPr>
          <w:szCs w:val="24"/>
        </w:rPr>
        <w:t>)</w:t>
      </w:r>
      <w:r w:rsidR="00CC53D0" w:rsidRPr="00824617">
        <w:t xml:space="preserve">, </w:t>
      </w:r>
      <w:r w:rsidR="00DE024A">
        <w:t>galima</w:t>
      </w:r>
      <w:r w:rsidR="00CC53D0">
        <w:t xml:space="preserve"> </w:t>
      </w:r>
      <w:r>
        <w:t>kreiptis</w:t>
      </w:r>
      <w:r w:rsidR="00CC53D0">
        <w:t xml:space="preserve"> </w:t>
      </w:r>
      <w:r>
        <w:t xml:space="preserve">į </w:t>
      </w:r>
      <w:r w:rsidR="00CC53D0" w:rsidRPr="00CC53D0">
        <w:t>Statistikos departament</w:t>
      </w:r>
      <w:r>
        <w:t>ą</w:t>
      </w:r>
      <w:r w:rsidR="00CC53D0" w:rsidRPr="00CC53D0">
        <w:t xml:space="preserve"> prie L</w:t>
      </w:r>
      <w:r w:rsidR="004C0C4B">
        <w:t>ietuvos Respublikos Vyriausybės</w:t>
      </w:r>
      <w:r>
        <w:t xml:space="preserve"> dėl šių duomenų pateikimo</w:t>
      </w:r>
      <w:r w:rsidR="00CC53D0" w:rsidRPr="00CC53D0">
        <w:t>.</w:t>
      </w:r>
      <w:r w:rsidR="00CC53D0">
        <w:t xml:space="preserve"> </w:t>
      </w:r>
    </w:p>
    <w:p w14:paraId="19262200" w14:textId="74EDD67E" w:rsidR="00C60995" w:rsidRDefault="00C60995" w:rsidP="0032297F">
      <w:pPr>
        <w:spacing w:before="120"/>
        <w:jc w:val="both"/>
      </w:pPr>
    </w:p>
    <w:p w14:paraId="01EA38DA" w14:textId="0D7C0636" w:rsidR="006C48CB" w:rsidRDefault="00774B68" w:rsidP="0032297F">
      <w:pPr>
        <w:spacing w:before="120"/>
        <w:jc w:val="both"/>
      </w:pPr>
      <w:r>
        <w:t xml:space="preserve">Nuostata, </w:t>
      </w:r>
      <w:r w:rsidR="006C48CB" w:rsidRPr="006C48CB">
        <w:t>kad sutarties kaina privalo būti perskaičiuojama kas vienerius metus</w:t>
      </w:r>
      <w:r w:rsidR="006C48CB">
        <w:t xml:space="preserve">, </w:t>
      </w:r>
      <w:r w:rsidR="006C48CB" w:rsidRPr="00AC6B9A">
        <w:rPr>
          <w:b/>
        </w:rPr>
        <w:t>kai</w:t>
      </w:r>
      <w:r w:rsidR="006C48CB">
        <w:t xml:space="preserve"> </w:t>
      </w:r>
      <w:r w:rsidR="006C48CB" w:rsidRPr="006C48CB">
        <w:t>infliacija/defliacija yra 5 proc. ir daugiau</w:t>
      </w:r>
      <w:r w:rsidR="006C48CB">
        <w:t xml:space="preserve">, reiškia </w:t>
      </w:r>
      <w:r>
        <w:t xml:space="preserve">sutarties kainos </w:t>
      </w:r>
      <w:r w:rsidR="006C48CB" w:rsidRPr="006C48CB">
        <w:t xml:space="preserve">peržiūros momentą bei dažnumą, kai </w:t>
      </w:r>
      <w:r w:rsidR="006C48CB">
        <w:t>peržiūra</w:t>
      </w:r>
      <w:r w:rsidR="006C48CB" w:rsidRPr="006C48CB">
        <w:t xml:space="preserve"> siejama</w:t>
      </w:r>
      <w:r w:rsidR="006C48CB" w:rsidRPr="0078748B">
        <w:t xml:space="preserve"> su įvykio ir datos deriniu –</w:t>
      </w:r>
      <w:r w:rsidRPr="0078748B">
        <w:t xml:space="preserve"> t</w:t>
      </w:r>
      <w:r w:rsidR="0078748B" w:rsidRPr="0078748B">
        <w:t>uri</w:t>
      </w:r>
      <w:r w:rsidRPr="0078748B">
        <w:t xml:space="preserve"> būti išpildytos abi sąlygos: (i) </w:t>
      </w:r>
      <w:r w:rsidR="0078748B" w:rsidRPr="0078748B">
        <w:t xml:space="preserve">sutarties kaina turi būti peržiūrėta </w:t>
      </w:r>
      <w:r w:rsidR="00BB0B40">
        <w:t>kas</w:t>
      </w:r>
      <w:r w:rsidR="00BB0B40" w:rsidRPr="0078748B">
        <w:t xml:space="preserve"> </w:t>
      </w:r>
      <w:r w:rsidR="0078748B" w:rsidRPr="0078748B">
        <w:t>vieneri metai (</w:t>
      </w:r>
      <w:r w:rsidR="0078748B">
        <w:t xml:space="preserve">t.y. </w:t>
      </w:r>
      <w:r w:rsidR="00345DE9">
        <w:rPr>
          <w:szCs w:val="24"/>
        </w:rPr>
        <w:t xml:space="preserve">peržiūra vykdoma </w:t>
      </w:r>
      <w:r w:rsidR="0078748B" w:rsidRPr="0078748B">
        <w:t>ne anksčiau kaip po vienerių metų nuo Sutarties įsigaliojimo arba nuo paskutiniojo jos per</w:t>
      </w:r>
      <w:r w:rsidR="00BB0B40">
        <w:t>žiūrėjimo</w:t>
      </w:r>
      <w:r w:rsidR="006E251C" w:rsidRPr="006E251C">
        <w:t xml:space="preserve"> </w:t>
      </w:r>
      <w:r w:rsidR="006E251C" w:rsidRPr="0078748B">
        <w:t>datos</w:t>
      </w:r>
      <w:r w:rsidR="0078748B">
        <w:t xml:space="preserve">) ir (ii) </w:t>
      </w:r>
      <w:r w:rsidR="0078748B" w:rsidRPr="0078748B">
        <w:t>einamojo mėnesio</w:t>
      </w:r>
      <w:r w:rsidR="0078748B">
        <w:t xml:space="preserve"> vidutinis metinis </w:t>
      </w:r>
      <w:r w:rsidR="007F7065" w:rsidRPr="00870295">
        <w:t xml:space="preserve">visų statinių </w:t>
      </w:r>
      <w:r w:rsidR="0078748B" w:rsidRPr="00870295">
        <w:t>statyb</w:t>
      </w:r>
      <w:r w:rsidR="0078748B">
        <w:t xml:space="preserve">os sąnaudų elementų kainų pokytis (apskaičiuotas, kaip paaiškinta aukščiau) lygus </w:t>
      </w:r>
      <w:r w:rsidR="0078748B" w:rsidRPr="0078748B">
        <w:t xml:space="preserve">5 procentams ir daugiau. </w:t>
      </w:r>
    </w:p>
    <w:sectPr w:rsidR="006C48CB" w:rsidSect="00D121FA">
      <w:pgSz w:w="11906" w:h="16838"/>
      <w:pgMar w:top="1135" w:right="1416" w:bottom="1135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8D27" w14:textId="77777777" w:rsidR="00E9253B" w:rsidRDefault="00E9253B" w:rsidP="001D4056">
      <w:r>
        <w:separator/>
      </w:r>
    </w:p>
  </w:endnote>
  <w:endnote w:type="continuationSeparator" w:id="0">
    <w:p w14:paraId="398655F9" w14:textId="77777777" w:rsidR="00E9253B" w:rsidRDefault="00E9253B" w:rsidP="001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91FEA" w14:textId="77777777" w:rsidR="00E9253B" w:rsidRDefault="00E9253B" w:rsidP="001D4056">
      <w:r>
        <w:separator/>
      </w:r>
    </w:p>
  </w:footnote>
  <w:footnote w:type="continuationSeparator" w:id="0">
    <w:p w14:paraId="60F43E64" w14:textId="77777777" w:rsidR="00E9253B" w:rsidRDefault="00E9253B" w:rsidP="001D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0F6"/>
    <w:multiLevelType w:val="hybridMultilevel"/>
    <w:tmpl w:val="9E6C16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8B4"/>
    <w:multiLevelType w:val="hybridMultilevel"/>
    <w:tmpl w:val="C29A02C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27CF"/>
    <w:multiLevelType w:val="hybridMultilevel"/>
    <w:tmpl w:val="AEE4F4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0D"/>
    <w:rsid w:val="00030E9A"/>
    <w:rsid w:val="00033832"/>
    <w:rsid w:val="000538B1"/>
    <w:rsid w:val="00074BED"/>
    <w:rsid w:val="00082372"/>
    <w:rsid w:val="000A6938"/>
    <w:rsid w:val="000C7639"/>
    <w:rsid w:val="000E2480"/>
    <w:rsid w:val="00100910"/>
    <w:rsid w:val="0010135C"/>
    <w:rsid w:val="0010253E"/>
    <w:rsid w:val="00107CCD"/>
    <w:rsid w:val="0011042B"/>
    <w:rsid w:val="00116861"/>
    <w:rsid w:val="001241E4"/>
    <w:rsid w:val="00157EA0"/>
    <w:rsid w:val="00175163"/>
    <w:rsid w:val="001814E9"/>
    <w:rsid w:val="001917D5"/>
    <w:rsid w:val="00194208"/>
    <w:rsid w:val="001B5EE9"/>
    <w:rsid w:val="001D4056"/>
    <w:rsid w:val="001D7120"/>
    <w:rsid w:val="00201D0B"/>
    <w:rsid w:val="0020755A"/>
    <w:rsid w:val="0021534D"/>
    <w:rsid w:val="002252F2"/>
    <w:rsid w:val="00225BEC"/>
    <w:rsid w:val="00261BA8"/>
    <w:rsid w:val="00265C46"/>
    <w:rsid w:val="00276039"/>
    <w:rsid w:val="00277F41"/>
    <w:rsid w:val="002A7064"/>
    <w:rsid w:val="002B7934"/>
    <w:rsid w:val="002C47E2"/>
    <w:rsid w:val="002E1D56"/>
    <w:rsid w:val="002F5F4E"/>
    <w:rsid w:val="00300459"/>
    <w:rsid w:val="0031061E"/>
    <w:rsid w:val="00315162"/>
    <w:rsid w:val="0032297F"/>
    <w:rsid w:val="00333048"/>
    <w:rsid w:val="00343B92"/>
    <w:rsid w:val="00345DE9"/>
    <w:rsid w:val="00353CC7"/>
    <w:rsid w:val="003550D7"/>
    <w:rsid w:val="00357EA2"/>
    <w:rsid w:val="003669BD"/>
    <w:rsid w:val="00367683"/>
    <w:rsid w:val="00370B7D"/>
    <w:rsid w:val="003720E5"/>
    <w:rsid w:val="0038021E"/>
    <w:rsid w:val="0038474C"/>
    <w:rsid w:val="003A2AB5"/>
    <w:rsid w:val="003A410F"/>
    <w:rsid w:val="003B1489"/>
    <w:rsid w:val="003B21EB"/>
    <w:rsid w:val="003B61B6"/>
    <w:rsid w:val="003D0EF2"/>
    <w:rsid w:val="003F3F81"/>
    <w:rsid w:val="004222E7"/>
    <w:rsid w:val="00480829"/>
    <w:rsid w:val="00495C79"/>
    <w:rsid w:val="00495F3A"/>
    <w:rsid w:val="004961C6"/>
    <w:rsid w:val="004A6DA4"/>
    <w:rsid w:val="004C0C4B"/>
    <w:rsid w:val="004D064A"/>
    <w:rsid w:val="004D1634"/>
    <w:rsid w:val="004E2F48"/>
    <w:rsid w:val="004F3E36"/>
    <w:rsid w:val="004F72EF"/>
    <w:rsid w:val="00503AA9"/>
    <w:rsid w:val="00531356"/>
    <w:rsid w:val="0053150D"/>
    <w:rsid w:val="00543957"/>
    <w:rsid w:val="00550F77"/>
    <w:rsid w:val="00565A0E"/>
    <w:rsid w:val="005817FA"/>
    <w:rsid w:val="00581DB2"/>
    <w:rsid w:val="005845F9"/>
    <w:rsid w:val="005921DC"/>
    <w:rsid w:val="005A62D1"/>
    <w:rsid w:val="005B2D51"/>
    <w:rsid w:val="005C7732"/>
    <w:rsid w:val="005E2633"/>
    <w:rsid w:val="005E6FEA"/>
    <w:rsid w:val="005F4A8F"/>
    <w:rsid w:val="0060564A"/>
    <w:rsid w:val="00611A13"/>
    <w:rsid w:val="0061276B"/>
    <w:rsid w:val="006249F0"/>
    <w:rsid w:val="00636988"/>
    <w:rsid w:val="006724F9"/>
    <w:rsid w:val="00676FE5"/>
    <w:rsid w:val="00677A33"/>
    <w:rsid w:val="006A0074"/>
    <w:rsid w:val="006A33AA"/>
    <w:rsid w:val="006C48CB"/>
    <w:rsid w:val="006E251C"/>
    <w:rsid w:val="0071029E"/>
    <w:rsid w:val="00737303"/>
    <w:rsid w:val="00750B38"/>
    <w:rsid w:val="007604D8"/>
    <w:rsid w:val="007736E0"/>
    <w:rsid w:val="00774B68"/>
    <w:rsid w:val="0078748B"/>
    <w:rsid w:val="007A609E"/>
    <w:rsid w:val="007A7817"/>
    <w:rsid w:val="007E1A21"/>
    <w:rsid w:val="007E73AC"/>
    <w:rsid w:val="007F40AE"/>
    <w:rsid w:val="007F7065"/>
    <w:rsid w:val="0080122E"/>
    <w:rsid w:val="0082251E"/>
    <w:rsid w:val="00824617"/>
    <w:rsid w:val="00836846"/>
    <w:rsid w:val="00845923"/>
    <w:rsid w:val="0086734F"/>
    <w:rsid w:val="0087010A"/>
    <w:rsid w:val="00870295"/>
    <w:rsid w:val="00873661"/>
    <w:rsid w:val="00877051"/>
    <w:rsid w:val="008811C4"/>
    <w:rsid w:val="008C0FCE"/>
    <w:rsid w:val="008D7AC1"/>
    <w:rsid w:val="008F121F"/>
    <w:rsid w:val="008F7994"/>
    <w:rsid w:val="00901CC0"/>
    <w:rsid w:val="00943319"/>
    <w:rsid w:val="0095573B"/>
    <w:rsid w:val="00955B44"/>
    <w:rsid w:val="0097195C"/>
    <w:rsid w:val="00975FA2"/>
    <w:rsid w:val="00976819"/>
    <w:rsid w:val="009A1A18"/>
    <w:rsid w:val="009A4406"/>
    <w:rsid w:val="009B14A6"/>
    <w:rsid w:val="009B67EB"/>
    <w:rsid w:val="009C1E92"/>
    <w:rsid w:val="009C2B38"/>
    <w:rsid w:val="009C33D0"/>
    <w:rsid w:val="009E3ABD"/>
    <w:rsid w:val="009E6D90"/>
    <w:rsid w:val="009F1C3A"/>
    <w:rsid w:val="00A05754"/>
    <w:rsid w:val="00A27CED"/>
    <w:rsid w:val="00A33918"/>
    <w:rsid w:val="00A735B3"/>
    <w:rsid w:val="00A846C2"/>
    <w:rsid w:val="00A9444C"/>
    <w:rsid w:val="00AC19D9"/>
    <w:rsid w:val="00AC6B9A"/>
    <w:rsid w:val="00AE2AB7"/>
    <w:rsid w:val="00AE48D1"/>
    <w:rsid w:val="00AF3546"/>
    <w:rsid w:val="00B017A4"/>
    <w:rsid w:val="00B17060"/>
    <w:rsid w:val="00B21939"/>
    <w:rsid w:val="00B24EDF"/>
    <w:rsid w:val="00B348F2"/>
    <w:rsid w:val="00B4235B"/>
    <w:rsid w:val="00B425FA"/>
    <w:rsid w:val="00B5020E"/>
    <w:rsid w:val="00B76684"/>
    <w:rsid w:val="00B80BD5"/>
    <w:rsid w:val="00B931B5"/>
    <w:rsid w:val="00BA1199"/>
    <w:rsid w:val="00BB0B40"/>
    <w:rsid w:val="00BB4EE9"/>
    <w:rsid w:val="00BB57C8"/>
    <w:rsid w:val="00BD0662"/>
    <w:rsid w:val="00BD7CF2"/>
    <w:rsid w:val="00BE5B87"/>
    <w:rsid w:val="00BE614E"/>
    <w:rsid w:val="00C02D61"/>
    <w:rsid w:val="00C10903"/>
    <w:rsid w:val="00C11C68"/>
    <w:rsid w:val="00C14E4B"/>
    <w:rsid w:val="00C26A71"/>
    <w:rsid w:val="00C3290C"/>
    <w:rsid w:val="00C36476"/>
    <w:rsid w:val="00C60995"/>
    <w:rsid w:val="00C6606A"/>
    <w:rsid w:val="00C747CE"/>
    <w:rsid w:val="00C75A30"/>
    <w:rsid w:val="00CA4BB4"/>
    <w:rsid w:val="00CC53D0"/>
    <w:rsid w:val="00CD0C36"/>
    <w:rsid w:val="00CD3002"/>
    <w:rsid w:val="00CE79A5"/>
    <w:rsid w:val="00D121FA"/>
    <w:rsid w:val="00D25A8B"/>
    <w:rsid w:val="00D33CFE"/>
    <w:rsid w:val="00D7376B"/>
    <w:rsid w:val="00D83069"/>
    <w:rsid w:val="00D858FD"/>
    <w:rsid w:val="00DA37D0"/>
    <w:rsid w:val="00DE024A"/>
    <w:rsid w:val="00DE035E"/>
    <w:rsid w:val="00DE295A"/>
    <w:rsid w:val="00DE7770"/>
    <w:rsid w:val="00DE7FBB"/>
    <w:rsid w:val="00DF71EE"/>
    <w:rsid w:val="00E14499"/>
    <w:rsid w:val="00E21755"/>
    <w:rsid w:val="00E4784E"/>
    <w:rsid w:val="00E554B0"/>
    <w:rsid w:val="00E9253B"/>
    <w:rsid w:val="00EB5E8A"/>
    <w:rsid w:val="00EC5ED2"/>
    <w:rsid w:val="00EF5469"/>
    <w:rsid w:val="00F148ED"/>
    <w:rsid w:val="00F2239D"/>
    <w:rsid w:val="00F4235E"/>
    <w:rsid w:val="00F56027"/>
    <w:rsid w:val="00F656ED"/>
    <w:rsid w:val="00F66085"/>
    <w:rsid w:val="00F710FB"/>
    <w:rsid w:val="00F965B9"/>
    <w:rsid w:val="00FB00A5"/>
    <w:rsid w:val="00FB05F8"/>
    <w:rsid w:val="00FC2E3F"/>
    <w:rsid w:val="00FE1677"/>
    <w:rsid w:val="00FE3547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B0043"/>
  <w15:chartTrackingRefBased/>
  <w15:docId w15:val="{DD39EE12-B470-4CCE-9682-FB87B83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4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A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E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E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3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0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40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0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5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p.stat.gov.lt/statistiniu-rodikliu-analiz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D862-4AD0-4A85-9EF7-1D439392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Lašas</dc:creator>
  <cp:keywords/>
  <dc:description/>
  <cp:lastModifiedBy>Donatas Lašas</cp:lastModifiedBy>
  <cp:revision>235</cp:revision>
  <dcterms:created xsi:type="dcterms:W3CDTF">2021-08-06T12:43:00Z</dcterms:created>
  <dcterms:modified xsi:type="dcterms:W3CDTF">2022-03-04T09:02:00Z</dcterms:modified>
</cp:coreProperties>
</file>