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91" w:rsidRDefault="00905983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  <w:bookmarkStart w:id="0" w:name="_GoBack"/>
      <w:bookmarkEnd w:id="0"/>
      <w:r>
        <w:rPr>
          <w:noProof/>
          <w:szCs w:val="24"/>
          <w:lang w:eastAsia="lt-LT"/>
        </w:rPr>
        <w:drawing>
          <wp:inline distT="0" distB="0" distL="0" distR="0" wp14:anchorId="1E48E0B3" wp14:editId="6CE10106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91" w:rsidRDefault="0090598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FINANSŲ MINISTRAS</w:t>
      </w:r>
    </w:p>
    <w:p w:rsidR="00222891" w:rsidRDefault="00222891">
      <w:pPr>
        <w:ind w:firstLine="62"/>
        <w:jc w:val="center"/>
      </w:pPr>
    </w:p>
    <w:p w:rsidR="00222891" w:rsidRDefault="00905983">
      <w:pPr>
        <w:jc w:val="center"/>
      </w:pPr>
      <w:r>
        <w:rPr>
          <w:b/>
          <w:bCs/>
        </w:rPr>
        <w:t>ĮSAKYMAS</w:t>
      </w:r>
    </w:p>
    <w:p w:rsidR="00222891" w:rsidRDefault="00905983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>
        <w:rPr>
          <w:b/>
          <w:szCs w:val="24"/>
          <w:lang w:eastAsia="lt-LT"/>
        </w:rPr>
        <w:t>LIETUVOS RESPUBLIKAI IŠ</w:t>
      </w:r>
      <w:r>
        <w:rPr>
          <w:b/>
          <w:szCs w:val="24"/>
          <w:lang w:val="en-US" w:eastAsia="lt-LT"/>
        </w:rPr>
        <w:t xml:space="preserve"> </w:t>
      </w:r>
      <w:r>
        <w:rPr>
          <w:b/>
          <w:bCs/>
          <w:szCs w:val="24"/>
          <w:lang w:eastAsia="lt-LT"/>
        </w:rPr>
        <w:t>PRISITAIKYMO PRIE „BREXIT</w:t>
      </w:r>
      <w:r>
        <w:rPr>
          <w:b/>
          <w:szCs w:val="24"/>
          <w:lang w:eastAsia="lt-LT"/>
        </w:rPr>
        <w:t>’</w:t>
      </w:r>
      <w:r>
        <w:rPr>
          <w:b/>
          <w:bCs/>
          <w:szCs w:val="24"/>
          <w:lang w:eastAsia="lt-LT"/>
        </w:rPr>
        <w:t>O“ REZERVO SKIRTŲ LĖŠŲ ADMINISTRAVIMO TAISYKLIŲ ĮGYVENDINIMO</w:t>
      </w:r>
    </w:p>
    <w:p w:rsidR="00222891" w:rsidRDefault="00222891">
      <w:pPr>
        <w:jc w:val="center"/>
      </w:pPr>
    </w:p>
    <w:p w:rsidR="00222891" w:rsidRDefault="00905983">
      <w:pPr>
        <w:ind w:firstLine="62"/>
        <w:jc w:val="center"/>
      </w:pPr>
      <w:r>
        <w:rPr>
          <w:color w:val="000000"/>
        </w:rPr>
        <w:t>2022 m. gegužės </w:t>
      </w:r>
      <w:r>
        <w:rPr>
          <w:color w:val="000000"/>
          <w:lang w:val="es-ES"/>
        </w:rPr>
        <w:t>27</w:t>
      </w:r>
      <w:r>
        <w:rPr>
          <w:color w:val="000000"/>
        </w:rPr>
        <w:t xml:space="preserve"> d. </w:t>
      </w:r>
      <w:r>
        <w:t xml:space="preserve">Nr. </w:t>
      </w:r>
      <w:r w:rsidRPr="00905983">
        <w:t>1K-190</w:t>
      </w:r>
    </w:p>
    <w:p w:rsidR="00222891" w:rsidRDefault="00905983">
      <w:pPr>
        <w:jc w:val="center"/>
      </w:pPr>
      <w:r>
        <w:t>Vilnius</w:t>
      </w:r>
    </w:p>
    <w:p w:rsidR="00222891" w:rsidRDefault="00222891">
      <w:pPr>
        <w:ind w:firstLine="124"/>
        <w:jc w:val="center"/>
      </w:pPr>
    </w:p>
    <w:p w:rsidR="00222891" w:rsidRDefault="00222891">
      <w:pPr>
        <w:jc w:val="center"/>
        <w:textAlignment w:val="center"/>
        <w:rPr>
          <w:szCs w:val="24"/>
          <w:lang w:eastAsia="lt-LT"/>
        </w:rPr>
      </w:pPr>
    </w:p>
    <w:p w:rsidR="00222891" w:rsidRDefault="00905983">
      <w:pPr>
        <w:spacing w:line="276" w:lineRule="auto"/>
        <w:ind w:firstLine="567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Vadovaudamasi Lietuvos Respublikai iš</w:t>
      </w:r>
      <w:r>
        <w:rPr>
          <w:szCs w:val="24"/>
          <w:lang w:val="en-US" w:eastAsia="lt-LT"/>
        </w:rPr>
        <w:t xml:space="preserve"> </w:t>
      </w:r>
      <w:r>
        <w:rPr>
          <w:bCs/>
          <w:szCs w:val="24"/>
          <w:lang w:eastAsia="lt-LT"/>
        </w:rPr>
        <w:t>Prisitaikymo prie „Brexit</w:t>
      </w:r>
      <w:r>
        <w:rPr>
          <w:szCs w:val="24"/>
          <w:lang w:eastAsia="lt-LT"/>
        </w:rPr>
        <w:t>’</w:t>
      </w:r>
      <w:r>
        <w:rPr>
          <w:bCs/>
          <w:szCs w:val="24"/>
          <w:lang w:eastAsia="lt-LT"/>
        </w:rPr>
        <w:t xml:space="preserve">o“ rezervo skirtų lėšų administravimo taisyklių, patvirtintų Lietuvos Respublikos Vyriausybės 2022 m. gegužės 18 d. nutarimu Nr. 507 „Dėl </w:t>
      </w:r>
      <w:r>
        <w:rPr>
          <w:szCs w:val="24"/>
          <w:lang w:eastAsia="lt-LT"/>
        </w:rPr>
        <w:t>Lietuvos Respublikai iš</w:t>
      </w:r>
      <w:r>
        <w:rPr>
          <w:szCs w:val="24"/>
          <w:lang w:val="en-US" w:eastAsia="lt-LT"/>
        </w:rPr>
        <w:t xml:space="preserve"> </w:t>
      </w:r>
      <w:r>
        <w:rPr>
          <w:bCs/>
          <w:szCs w:val="24"/>
          <w:lang w:eastAsia="lt-LT"/>
        </w:rPr>
        <w:t>Prisitaikymo prie „Brexit</w:t>
      </w:r>
      <w:r>
        <w:rPr>
          <w:szCs w:val="24"/>
          <w:lang w:eastAsia="lt-LT"/>
        </w:rPr>
        <w:t>’</w:t>
      </w:r>
      <w:r>
        <w:rPr>
          <w:bCs/>
          <w:szCs w:val="24"/>
          <w:lang w:eastAsia="lt-LT"/>
        </w:rPr>
        <w:t xml:space="preserve">o“ rezervo skirtų lėšų administravimo“, </w:t>
      </w:r>
      <w:r>
        <w:rPr>
          <w:szCs w:val="24"/>
        </w:rPr>
        <w:t>5.4.1 papunkčiu,</w:t>
      </w:r>
      <w:r>
        <w:rPr>
          <w:bCs/>
          <w:szCs w:val="24"/>
          <w:lang w:eastAsia="lt-LT"/>
        </w:rPr>
        <w:t xml:space="preserve"> 28 punktu, 41.7 papunkčiu, 57, 65 ir 94 punktais,</w:t>
      </w:r>
    </w:p>
    <w:p w:rsidR="00222891" w:rsidRDefault="00905983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t v i r t i n u pridedamus:</w:t>
      </w:r>
    </w:p>
    <w:p w:rsidR="00222891" w:rsidRDefault="00905983">
      <w:pPr>
        <w:spacing w:line="276" w:lineRule="auto"/>
        <w:ind w:firstLine="567"/>
        <w:jc w:val="both"/>
        <w:rPr>
          <w:rFonts w:eastAsia="Calibri"/>
          <w:bCs/>
          <w:szCs w:val="24"/>
        </w:rPr>
      </w:pPr>
      <w:r>
        <w:rPr>
          <w:color w:val="000000"/>
        </w:rPr>
        <w:t xml:space="preserve">1. </w:t>
      </w:r>
      <w:r>
        <w:rPr>
          <w:rFonts w:eastAsia="Calibri"/>
          <w:bCs/>
          <w:szCs w:val="24"/>
        </w:rPr>
        <w:t>Projekto tinkamumo finansuoti vertinimo lentelės formą;</w:t>
      </w:r>
    </w:p>
    <w:p w:rsidR="00222891" w:rsidRDefault="00905983">
      <w:pPr>
        <w:spacing w:line="276" w:lineRule="auto"/>
        <w:ind w:firstLine="567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2. Klausimyno dėl projekto atitikties reikšmingos žalos nedarymo principui formą;</w:t>
      </w:r>
    </w:p>
    <w:p w:rsidR="00222891" w:rsidRDefault="00905983">
      <w:pPr>
        <w:spacing w:line="276" w:lineRule="auto"/>
        <w:ind w:firstLine="567"/>
        <w:jc w:val="both"/>
        <w:rPr>
          <w:bCs/>
          <w:szCs w:val="24"/>
        </w:rPr>
      </w:pPr>
      <w:r>
        <w:rPr>
          <w:rFonts w:eastAsia="Calibri"/>
          <w:bCs/>
          <w:szCs w:val="24"/>
        </w:rPr>
        <w:t xml:space="preserve">3. </w:t>
      </w:r>
      <w:r>
        <w:rPr>
          <w:bCs/>
          <w:szCs w:val="24"/>
        </w:rPr>
        <w:t xml:space="preserve">Iš </w:t>
      </w:r>
      <w:r>
        <w:rPr>
          <w:szCs w:val="24"/>
          <w:lang w:eastAsia="lt-LT"/>
        </w:rPr>
        <w:t xml:space="preserve">Lietuvos Respublikai iš Prisitaikymo prie „Brexit’o“ rezervo skirtų lėšų finansuojamo </w:t>
      </w:r>
      <w:r>
        <w:rPr>
          <w:bCs/>
          <w:szCs w:val="24"/>
        </w:rPr>
        <w:t>projekto sutarties formą;</w:t>
      </w:r>
    </w:p>
    <w:p w:rsidR="00222891" w:rsidRDefault="00905983">
      <w:pPr>
        <w:spacing w:line="276" w:lineRule="auto"/>
        <w:ind w:firstLine="567"/>
        <w:jc w:val="both"/>
      </w:pPr>
      <w:r>
        <w:rPr>
          <w:bCs/>
          <w:szCs w:val="24"/>
        </w:rPr>
        <w:t xml:space="preserve">4. </w:t>
      </w:r>
      <w:r>
        <w:rPr>
          <w:szCs w:val="24"/>
        </w:rPr>
        <w:t xml:space="preserve">Paraiškos finansuoti projektą ir </w:t>
      </w:r>
      <w:r>
        <w:t xml:space="preserve">ataskaitos po projekto finansavimo pabaigos </w:t>
      </w:r>
      <w:r>
        <w:rPr>
          <w:szCs w:val="24"/>
        </w:rPr>
        <w:t xml:space="preserve">rengimo </w:t>
      </w:r>
      <w:r>
        <w:t>išimčių aprašą;</w:t>
      </w:r>
    </w:p>
    <w:p w:rsidR="00222891" w:rsidRDefault="00905983">
      <w:pPr>
        <w:ind w:firstLine="567"/>
      </w:pPr>
      <w:r>
        <w:t>5. Prisitaikymo prie „Brexit’o“ rezervo stebėsenos rodiklių skaičiavimo aprašą.</w:t>
      </w:r>
    </w:p>
    <w:p w:rsidR="00222891" w:rsidRDefault="00222891">
      <w:pPr>
        <w:spacing w:line="276" w:lineRule="auto"/>
        <w:ind w:firstLine="629"/>
        <w:rPr>
          <w:szCs w:val="24"/>
          <w:lang w:eastAsia="lt-LT"/>
        </w:rPr>
      </w:pPr>
    </w:p>
    <w:p w:rsidR="00222891" w:rsidRDefault="00222891">
      <w:pPr>
        <w:spacing w:line="276" w:lineRule="auto"/>
        <w:ind w:firstLine="629"/>
        <w:rPr>
          <w:szCs w:val="24"/>
          <w:lang w:eastAsia="lt-LT"/>
        </w:rPr>
      </w:pPr>
    </w:p>
    <w:p w:rsidR="00222891" w:rsidRDefault="00222891">
      <w:pPr>
        <w:spacing w:line="276" w:lineRule="auto"/>
        <w:ind w:firstLine="629"/>
        <w:rPr>
          <w:szCs w:val="24"/>
          <w:lang w:eastAsia="lt-LT"/>
        </w:rPr>
      </w:pPr>
    </w:p>
    <w:p w:rsidR="00222891" w:rsidRDefault="00905983"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Gintarė Skaistė</w:t>
      </w:r>
    </w:p>
    <w:p w:rsidR="00905983" w:rsidRDefault="00905983" w:rsidP="00905983">
      <w:pPr>
        <w:ind w:firstLine="5387"/>
        <w:sectPr w:rsidR="009059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222891" w:rsidRDefault="00905983" w:rsidP="00905983">
      <w:pPr>
        <w:ind w:firstLine="5387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:rsidR="00222891" w:rsidRDefault="00905983" w:rsidP="00905983">
      <w:pPr>
        <w:ind w:firstLine="5387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finansų ministro </w:t>
      </w:r>
    </w:p>
    <w:p w:rsidR="00222891" w:rsidRDefault="00905983" w:rsidP="00905983">
      <w:pPr>
        <w:ind w:firstLine="5387"/>
        <w:rPr>
          <w:szCs w:val="24"/>
          <w:lang w:eastAsia="lt-LT"/>
        </w:rPr>
      </w:pPr>
      <w:r>
        <w:rPr>
          <w:color w:val="000000"/>
        </w:rPr>
        <w:t>2022 m. gegužės </w:t>
      </w:r>
      <w:r>
        <w:rPr>
          <w:color w:val="000000"/>
          <w:lang w:val="es-ES"/>
        </w:rPr>
        <w:t>27</w:t>
      </w:r>
      <w:r>
        <w:rPr>
          <w:color w:val="000000"/>
        </w:rPr>
        <w:t xml:space="preserve"> d. </w:t>
      </w:r>
      <w:r>
        <w:rPr>
          <w:szCs w:val="24"/>
          <w:lang w:eastAsia="lt-LT"/>
        </w:rPr>
        <w:t xml:space="preserve">įsakymu Nr. </w:t>
      </w:r>
      <w:r w:rsidRPr="00905983">
        <w:rPr>
          <w:szCs w:val="24"/>
          <w:lang w:eastAsia="lt-LT"/>
        </w:rPr>
        <w:t>1K-190</w:t>
      </w:r>
    </w:p>
    <w:p w:rsidR="00222891" w:rsidRDefault="00222891">
      <w:pPr>
        <w:ind w:left="5670"/>
        <w:rPr>
          <w:szCs w:val="24"/>
          <w:lang w:eastAsia="lt-LT"/>
        </w:rPr>
      </w:pPr>
    </w:p>
    <w:p w:rsidR="00222891" w:rsidRDefault="00905983">
      <w:pPr>
        <w:jc w:val="center"/>
        <w:rPr>
          <w:b/>
        </w:rPr>
      </w:pPr>
      <w:r>
        <w:rPr>
          <w:b/>
          <w:szCs w:val="24"/>
        </w:rPr>
        <w:t xml:space="preserve">PARAIŠKOS FINANSUOTI PROJEKTĄ IR </w:t>
      </w:r>
      <w:r>
        <w:rPr>
          <w:b/>
        </w:rPr>
        <w:t xml:space="preserve">ATASKAITOS PO PROJEKTO FINANSAVIMO PABAIGOS </w:t>
      </w:r>
      <w:r>
        <w:rPr>
          <w:b/>
          <w:szCs w:val="24"/>
        </w:rPr>
        <w:t xml:space="preserve">RENGIMO </w:t>
      </w:r>
      <w:r>
        <w:rPr>
          <w:b/>
        </w:rPr>
        <w:t>IŠIMČIŲ APRAŠAS</w:t>
      </w:r>
    </w:p>
    <w:p w:rsidR="00222891" w:rsidRDefault="00222891"/>
    <w:p w:rsidR="00222891" w:rsidRDefault="00905983">
      <w:pPr>
        <w:spacing w:line="276" w:lineRule="auto"/>
        <w:ind w:firstLine="851"/>
        <w:jc w:val="both"/>
      </w:pPr>
      <w:r>
        <w:t>1.</w:t>
      </w:r>
      <w:r>
        <w:tab/>
      </w:r>
      <w:r>
        <w:rPr>
          <w:szCs w:val="24"/>
        </w:rPr>
        <w:t>Paraiška finansuoti projektą rengiama pagal Projektų administravimo ir finansavimo taisyklių</w:t>
      </w:r>
      <w:r>
        <w:rPr>
          <w:szCs w:val="24"/>
          <w:lang w:eastAsia="lt-LT"/>
        </w:rPr>
        <w:t>, patvirtintų Lietuvos Respublikos finansų ministro 2014 m. spalio 8 d. įsakymu Nr. 1K-316 „Dėl Projektų administravimo ir finansavimo taisyklių patvirtinimo“ (toliau – Projektų administravimo ir finansavimo taisyklės),</w:t>
      </w:r>
      <w:r>
        <w:rPr>
          <w:szCs w:val="24"/>
        </w:rPr>
        <w:t xml:space="preserve"> 3 priede nustatytą formą</w:t>
      </w:r>
      <w:r>
        <w:t xml:space="preserve"> (toliau – Paraiškos forma) su šiomis išimtimis: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1.1.</w:t>
      </w:r>
      <w:r>
        <w:tab/>
        <w:t xml:space="preserve">Nuorodos į Europos Sąjungos struktūrinių fondų lėšas laikomos nuorodomis į </w:t>
      </w:r>
      <w:r>
        <w:rPr>
          <w:szCs w:val="24"/>
          <w:lang w:eastAsia="lt-LT"/>
        </w:rPr>
        <w:t xml:space="preserve">Lietuvos Respublikai iš Prisitaikymo prie „Brexit’o“ rezervo skirtas lėšas (toliau – </w:t>
      </w:r>
      <w:r>
        <w:t>Rezervo lėšos).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1.2.</w:t>
      </w:r>
      <w:r>
        <w:tab/>
        <w:t>Paraiškos formos 5.1 papunktyje „Projekto poreikis. Pasirinkto sprendimo ir numatomo rezultato aprašymas“ pagrįsdamas projekto poreikį pareiškėjas turi nurodyti ir pagrįsti, kokių neigiamų padarinių pareiškėjo veiklos srityje sukėlė „Brexit’as“</w:t>
      </w:r>
      <w:r>
        <w:rPr>
          <w:szCs w:val="24"/>
          <w:lang w:eastAsia="lt-LT"/>
        </w:rPr>
        <w:t xml:space="preserve"> – Jungtinės Karalystės išstojimas iš Europos Sąjungos</w:t>
      </w:r>
      <w:r>
        <w:t xml:space="preserve"> – ir kaip projektu bus prisidedama prie „Brexit’o“ neigiamų padarinių šalinimo. Aprašydamas projekto naudą pareiškėjas neturi pagrįsti</w:t>
      </w:r>
      <w:r>
        <w:rPr>
          <w:szCs w:val="24"/>
        </w:rPr>
        <w:t xml:space="preserve"> </w:t>
      </w:r>
      <w:r>
        <w:rPr>
          <w:rFonts w:cs="Arial"/>
          <w:szCs w:val="24"/>
        </w:rPr>
        <w:t>pridėtinės vertės Baltijos jūros regionui (kaip makroregionui).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1.3.</w:t>
      </w:r>
      <w:r>
        <w:tab/>
        <w:t xml:space="preserve">Paraiškos formos 6 punkto pastraipoje „Projekto tikslas“ pareiškėjas formuluoja projekto tikslą atsižvelgdamas į tai, kad projektu turi būti prisidedama prie </w:t>
      </w:r>
      <w:r>
        <w:rPr>
          <w:szCs w:val="24"/>
          <w:lang w:eastAsia="lt-LT"/>
        </w:rPr>
        <w:t xml:space="preserve">2021 m. spalio 6 d. Europos Parlamento ir Tarybos reglamento (ES) 2021/1755, kuriuo sukuriamas prisitaikymo prie „Brexit’o“ rezervas, </w:t>
      </w:r>
      <w:r>
        <w:t>2 straipsnio 1 dalyje nustatytų tikslų įgyvendinimo.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1.4.</w:t>
      </w:r>
      <w:r>
        <w:tab/>
        <w:t xml:space="preserve">Paraiškos formos 7 punktas „Projekto biudžetas“ pildomas vadovaujantis </w:t>
      </w:r>
      <w:r>
        <w:rPr>
          <w:szCs w:val="24"/>
          <w:lang w:eastAsia="lt-LT"/>
        </w:rPr>
        <w:t>Lietuvos Respublikai iš</w:t>
      </w:r>
      <w:r>
        <w:rPr>
          <w:szCs w:val="24"/>
          <w:lang w:val="en-US" w:eastAsia="lt-LT"/>
        </w:rPr>
        <w:t xml:space="preserve"> </w:t>
      </w:r>
      <w:r>
        <w:rPr>
          <w:bCs/>
          <w:szCs w:val="24"/>
          <w:lang w:eastAsia="lt-LT"/>
        </w:rPr>
        <w:t>Prisitaikymo prie „Brexit</w:t>
      </w:r>
      <w:r>
        <w:rPr>
          <w:szCs w:val="24"/>
          <w:lang w:eastAsia="lt-LT"/>
        </w:rPr>
        <w:t>’</w:t>
      </w:r>
      <w:r>
        <w:rPr>
          <w:bCs/>
          <w:szCs w:val="24"/>
          <w:lang w:eastAsia="lt-LT"/>
        </w:rPr>
        <w:t>o“ rezervo skirtų lėšų administravimo</w:t>
      </w:r>
      <w:r>
        <w:rPr>
          <w:szCs w:val="24"/>
          <w:lang w:eastAsia="lt-LT"/>
        </w:rPr>
        <w:t xml:space="preserve"> </w:t>
      </w:r>
      <w:r>
        <w:t xml:space="preserve">taisyklių, patvirtintų Lietuvos Respublikos Vyriausybės 2022 m. gegužės 18 d. nutarimu Nr. 507 „Dėl </w:t>
      </w:r>
      <w:r>
        <w:rPr>
          <w:szCs w:val="24"/>
          <w:lang w:eastAsia="lt-LT"/>
        </w:rPr>
        <w:t>Lietuvos Respublikai iš</w:t>
      </w:r>
      <w:r>
        <w:rPr>
          <w:szCs w:val="24"/>
          <w:lang w:val="en-US" w:eastAsia="lt-LT"/>
        </w:rPr>
        <w:t xml:space="preserve"> </w:t>
      </w:r>
      <w:r>
        <w:rPr>
          <w:bCs/>
          <w:szCs w:val="24"/>
          <w:lang w:eastAsia="lt-LT"/>
        </w:rPr>
        <w:t>Prisitaikymo prie „Brexit</w:t>
      </w:r>
      <w:r>
        <w:rPr>
          <w:szCs w:val="24"/>
          <w:lang w:eastAsia="lt-LT"/>
        </w:rPr>
        <w:t>’</w:t>
      </w:r>
      <w:r>
        <w:rPr>
          <w:bCs/>
          <w:szCs w:val="24"/>
          <w:lang w:eastAsia="lt-LT"/>
        </w:rPr>
        <w:t>o“ rezervo skirtų lėšų administravimo“,</w:t>
      </w:r>
      <w:r>
        <w:t xml:space="preserve"> III skyriaus antrajame skirsnyje nustatytais išlaidų tinkamumo finansuoti reikalavimais. Išlaidų kategorijos „Žemė“, „Nekilnojamasis turtas“ ir „Netiesioginės išlaidos ir kitos išlaidos pagal fiksuotąją projekto išlaidų normą“ nenurodomos.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1.5.</w:t>
      </w:r>
      <w:r>
        <w:tab/>
        <w:t>Paraiškos formos 10 punkte „Informacija apie projekto pajamas“ pareiškėjas pažymi 10.4 papunktį „Netaikoma“.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1.6.</w:t>
      </w:r>
      <w:r>
        <w:tab/>
        <w:t>Paraiškos formos 11 punkto „Projekto tinkamų finansuoti išlaidų finansavimo šaltiniai“ lentelės 3.1 papunktis „Iš jų apskaičiuotos numatomos gauti grynosios pajamos“ nepildomas.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1.7.</w:t>
      </w:r>
      <w:r>
        <w:tab/>
        <w:t>Paraiškos formos 13 punkte „Stebėsenos rodikliai“ nurodomi i</w:t>
      </w:r>
      <w:r>
        <w:rPr>
          <w:bCs/>
          <w:szCs w:val="24"/>
          <w:lang w:eastAsia="lt-LT"/>
        </w:rPr>
        <w:t xml:space="preserve">š </w:t>
      </w:r>
      <w:r>
        <w:rPr>
          <w:szCs w:val="24"/>
          <w:lang w:eastAsia="lt-LT"/>
        </w:rPr>
        <w:t xml:space="preserve">Lietuvos Respublikai iš Prisitaikymo prie „Brexit’o“ rezervo skirtų lėšų siūlomų </w:t>
      </w:r>
      <w:r>
        <w:rPr>
          <w:bCs/>
          <w:szCs w:val="24"/>
          <w:lang w:eastAsia="lt-LT"/>
        </w:rPr>
        <w:t>finansuoti</w:t>
      </w:r>
      <w:r>
        <w:t xml:space="preserve"> valstybės projektų sąraše projektui nustatyti stebėsenos rodikliai.</w:t>
      </w:r>
    </w:p>
    <w:p w:rsidR="00222891" w:rsidRDefault="00905983">
      <w:pPr>
        <w:tabs>
          <w:tab w:val="left" w:pos="1276"/>
          <w:tab w:val="left" w:pos="1701"/>
        </w:tabs>
        <w:spacing w:line="276" w:lineRule="auto"/>
        <w:ind w:firstLine="851"/>
        <w:jc w:val="both"/>
      </w:pPr>
      <w:r>
        <w:t>1.8.</w:t>
      </w:r>
      <w:r>
        <w:tab/>
        <w:t>Paraiškos formos 14 punkte „Projekto atitiktis horizontaliesiems principams“ pažymėdamas 14.1 papunktį „</w:t>
      </w:r>
      <w:r>
        <w:rPr>
          <w:szCs w:val="24"/>
          <w:lang w:eastAsia="en-GB"/>
        </w:rPr>
        <w:t>Projekto įgyvendinimo metu bus užtikrintas horizontaliųjų principų laikymasis“</w:t>
      </w:r>
      <w:r>
        <w:t xml:space="preserve"> arba 14.2.1 papunktį „Darnus vystymasis“ pareiškėjas papildomai pagrindžia, kaip projektu prisidedama prie Reglamento (ES) 2021/1755 2 straipsnio 2 dalyje nustatytų tikslų įgyvendinimo, pateikdamas užpildytą </w:t>
      </w:r>
      <w:r>
        <w:rPr>
          <w:szCs w:val="24"/>
        </w:rPr>
        <w:t>klausimyną dėl projekto atitikties reikšmingos žalos nedarymo principui, kurio forma patvirtinta šiuo įsakymu.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t>1.9.</w:t>
      </w:r>
      <w:r>
        <w:tab/>
        <w:t>Paraiškos formos 15 punkto „Informavimas apie projektą“ 15.3, 15.4 ir 15.6 papunkčiai nepildomi.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lastRenderedPageBreak/>
        <w:t>1.10.</w:t>
      </w:r>
      <w:r>
        <w:tab/>
        <w:t>Paraiškos formos 21 punkto „Pareiškėjo deklaracija“ 13 punktas netaikomas.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t>2.</w:t>
      </w:r>
      <w:r>
        <w:tab/>
        <w:t>Ataskaita po projekto finansavimo pabaigos rengiama pagal formą, nustatytą Projektų administravimo ir finansavimo taisyklių 8 priede (toliau – Ataskaitos forma), su šiomis išimtimis: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t>2.1.</w:t>
      </w:r>
      <w:r>
        <w:tab/>
        <w:t>Nuorodos į Europos Sąjungos struktūrinių fondų lėšas laikomos nuorodomis į Rezervo lėšas.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t>2.2.</w:t>
      </w:r>
      <w:r>
        <w:tab/>
        <w:t>Ataskaitos formos 3 punktas „Informacija apie projekto pajamas“ nepildomas.</w:t>
      </w:r>
    </w:p>
    <w:p w:rsidR="00222891" w:rsidRDefault="00905983">
      <w:pPr>
        <w:tabs>
          <w:tab w:val="left" w:pos="1418"/>
        </w:tabs>
        <w:spacing w:line="276" w:lineRule="auto"/>
        <w:ind w:firstLine="851"/>
        <w:jc w:val="both"/>
      </w:pPr>
      <w:r>
        <w:t>2.3.</w:t>
      </w:r>
      <w:r>
        <w:tab/>
        <w:t>Gamybinė veikla laikoma perkelta, kai ji perkelta už Lietuvos Respublikos ribų.</w:t>
      </w:r>
    </w:p>
    <w:p w:rsidR="00222891" w:rsidRDefault="00222891"/>
    <w:p w:rsidR="00222891" w:rsidRDefault="00905983" w:rsidP="00905983">
      <w:pPr>
        <w:jc w:val="center"/>
        <w:rPr>
          <w:szCs w:val="24"/>
        </w:rPr>
      </w:pPr>
      <w:r>
        <w:t>____________________________</w:t>
      </w:r>
    </w:p>
    <w:sectPr w:rsidR="00222891" w:rsidSect="00905983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F" w:rsidRDefault="009F6B7F">
      <w:r>
        <w:separator/>
      </w:r>
    </w:p>
  </w:endnote>
  <w:endnote w:type="continuationSeparator" w:id="0">
    <w:p w:rsidR="009F6B7F" w:rsidRDefault="009F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91" w:rsidRDefault="0022289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91" w:rsidRDefault="00222891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91" w:rsidRDefault="0022289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F" w:rsidRDefault="009F6B7F">
      <w:r>
        <w:separator/>
      </w:r>
    </w:p>
  </w:footnote>
  <w:footnote w:type="continuationSeparator" w:id="0">
    <w:p w:rsidR="009F6B7F" w:rsidRDefault="009F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91" w:rsidRDefault="0090598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222891" w:rsidRDefault="0022289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887996"/>
      <w:docPartObj>
        <w:docPartGallery w:val="Page Numbers (Top of Page)"/>
        <w:docPartUnique/>
      </w:docPartObj>
    </w:sdtPr>
    <w:sdtEndPr/>
    <w:sdtContent>
      <w:p w:rsidR="00905983" w:rsidRDefault="009059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5E">
          <w:rPr>
            <w:noProof/>
          </w:rPr>
          <w:t>1</w:t>
        </w:r>
        <w:r>
          <w:fldChar w:fldCharType="end"/>
        </w:r>
      </w:p>
    </w:sdtContent>
  </w:sdt>
  <w:p w:rsidR="00222891" w:rsidRDefault="0022289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91" w:rsidRDefault="0022289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E6"/>
    <w:rsid w:val="00022B5E"/>
    <w:rsid w:val="00222891"/>
    <w:rsid w:val="00905983"/>
    <w:rsid w:val="009F6B7F"/>
    <w:rsid w:val="00C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5241-D2D4-4DE6-B1CD-3E554B1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8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05983"/>
    <w:rPr>
      <w:rFonts w:asciiTheme="minorHAnsi" w:eastAsiaTheme="minorEastAsia" w:hAnsiTheme="minorHAns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90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3"/>
    <w:rsid w:val="00035AD3"/>
    <w:rsid w:val="00597891"/>
    <w:rsid w:val="006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35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4E37-D314-4FA7-9840-8DABC9A5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3173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Martinėnienė</dc:creator>
  <cp:lastModifiedBy>Viktor Jurkianec</cp:lastModifiedBy>
  <cp:revision>2</cp:revision>
  <dcterms:created xsi:type="dcterms:W3CDTF">2022-06-09T07:13:00Z</dcterms:created>
  <dcterms:modified xsi:type="dcterms:W3CDTF">2022-06-09T07:13:00Z</dcterms:modified>
</cp:coreProperties>
</file>