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0EF" w:rsidRDefault="002B20EF" w:rsidP="002B20EF">
      <w:pPr>
        <w:ind w:left="16443"/>
        <w:rPr>
          <w:sz w:val="22"/>
          <w:szCs w:val="22"/>
        </w:rPr>
      </w:pPr>
      <w:r>
        <w:rPr>
          <w:sz w:val="22"/>
          <w:szCs w:val="22"/>
        </w:rPr>
        <w:t xml:space="preserve">2021–2027 metų Europos Sąjungos fondų ir Ekonomikos gaivinimo ir atsparumo didinimo priemonės lėšomis finansuojamų ar iš dalies finansuojamų projektų įgyvendinimo laikinosios tvarkos aprašo </w:t>
      </w:r>
    </w:p>
    <w:p w:rsidR="002B20EF" w:rsidRDefault="002B20EF" w:rsidP="002B20EF">
      <w:pPr>
        <w:ind w:left="16443"/>
        <w:jc w:val="both"/>
        <w:rPr>
          <w:sz w:val="22"/>
          <w:szCs w:val="22"/>
        </w:rPr>
      </w:pPr>
      <w:r>
        <w:rPr>
          <w:sz w:val="22"/>
          <w:szCs w:val="22"/>
        </w:rPr>
        <w:t>6 priedas</w:t>
      </w:r>
    </w:p>
    <w:p w:rsidR="008F32B9" w:rsidRDefault="008F32B9" w:rsidP="008F32B9">
      <w:pPr>
        <w:spacing w:line="276" w:lineRule="auto"/>
        <w:jc w:val="center"/>
        <w:rPr>
          <w:b/>
          <w:szCs w:val="24"/>
        </w:rPr>
      </w:pPr>
      <w:r>
        <w:rPr>
          <w:b/>
          <w:szCs w:val="24"/>
        </w:rPr>
        <w:t xml:space="preserve">LIETUVOS RESPUBLIKOS </w:t>
      </w:r>
      <w:r w:rsidR="009D3CED">
        <w:rPr>
          <w:b/>
          <w:szCs w:val="24"/>
        </w:rPr>
        <w:t xml:space="preserve">EKONOMIKOS IR INOVACIJŲ </w:t>
      </w:r>
      <w:r>
        <w:rPr>
          <w:b/>
          <w:szCs w:val="24"/>
        </w:rPr>
        <w:t>MINISTERIJA</w:t>
      </w:r>
    </w:p>
    <w:p w:rsidR="008F32B9" w:rsidRDefault="008F32B9">
      <w:pPr>
        <w:spacing w:line="276" w:lineRule="auto"/>
        <w:jc w:val="center"/>
        <w:rPr>
          <w:b/>
          <w:szCs w:val="22"/>
        </w:rPr>
      </w:pPr>
    </w:p>
    <w:p w:rsidR="004A53CC" w:rsidRDefault="00F41E84">
      <w:pPr>
        <w:spacing w:line="276" w:lineRule="auto"/>
        <w:jc w:val="center"/>
        <w:rPr>
          <w:b/>
          <w:szCs w:val="22"/>
        </w:rPr>
      </w:pPr>
      <w:r>
        <w:rPr>
          <w:b/>
          <w:szCs w:val="22"/>
        </w:rPr>
        <w:t>KVIETIMŲ TEIKTI PROJEKTŲ ĮGYVENDINIMO PLANUS PLANAS</w:t>
      </w:r>
    </w:p>
    <w:p w:rsidR="001F68D6" w:rsidRDefault="001F68D6"/>
    <w:tbl>
      <w:tblPr>
        <w:tblW w:w="21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852"/>
        <w:gridCol w:w="848"/>
        <w:gridCol w:w="969"/>
        <w:gridCol w:w="1160"/>
        <w:gridCol w:w="856"/>
        <w:gridCol w:w="709"/>
        <w:gridCol w:w="708"/>
        <w:gridCol w:w="2268"/>
        <w:gridCol w:w="850"/>
        <w:gridCol w:w="775"/>
        <w:gridCol w:w="804"/>
        <w:gridCol w:w="987"/>
        <w:gridCol w:w="780"/>
        <w:gridCol w:w="845"/>
        <w:gridCol w:w="883"/>
        <w:gridCol w:w="1103"/>
        <w:gridCol w:w="851"/>
        <w:gridCol w:w="702"/>
        <w:gridCol w:w="702"/>
        <w:gridCol w:w="980"/>
        <w:gridCol w:w="715"/>
        <w:gridCol w:w="863"/>
        <w:gridCol w:w="894"/>
      </w:tblGrid>
      <w:tr w:rsidR="003C376F" w:rsidTr="00B53C0E">
        <w:trPr>
          <w:trHeight w:val="625"/>
        </w:trPr>
        <w:tc>
          <w:tcPr>
            <w:tcW w:w="844" w:type="dxa"/>
            <w:vMerge w:val="restart"/>
            <w:shd w:val="clear" w:color="auto" w:fill="BDD6EE" w:themeFill="accent1" w:themeFillTint="66"/>
            <w:vAlign w:val="center"/>
          </w:tcPr>
          <w:p w:rsidR="003C376F" w:rsidRDefault="003C376F" w:rsidP="003C376F">
            <w:pPr>
              <w:ind w:left="-57" w:right="-57"/>
              <w:jc w:val="center"/>
              <w:rPr>
                <w:sz w:val="18"/>
                <w:szCs w:val="18"/>
              </w:rPr>
            </w:pPr>
            <w:bookmarkStart w:id="0" w:name="_Hlk109816905"/>
            <w:r>
              <w:rPr>
                <w:sz w:val="18"/>
                <w:szCs w:val="18"/>
              </w:rPr>
              <w:t>Kvietimo numeris</w:t>
            </w:r>
          </w:p>
        </w:tc>
        <w:tc>
          <w:tcPr>
            <w:tcW w:w="852" w:type="dxa"/>
            <w:vMerge w:val="restart"/>
            <w:shd w:val="clear" w:color="auto" w:fill="BDD6EE" w:themeFill="accent1" w:themeFillTint="66"/>
            <w:vAlign w:val="center"/>
          </w:tcPr>
          <w:p w:rsidR="003C376F" w:rsidRDefault="003C376F" w:rsidP="003C376F">
            <w:pPr>
              <w:ind w:left="-57" w:right="-57"/>
              <w:jc w:val="center"/>
              <w:rPr>
                <w:sz w:val="18"/>
                <w:szCs w:val="18"/>
              </w:rPr>
            </w:pPr>
            <w:r>
              <w:rPr>
                <w:sz w:val="18"/>
                <w:szCs w:val="18"/>
              </w:rPr>
              <w:t>Kvietimo pavadini-mas</w:t>
            </w:r>
          </w:p>
          <w:p w:rsidR="003C376F" w:rsidRDefault="003C376F" w:rsidP="003C376F">
            <w:pPr>
              <w:ind w:left="-57" w:right="-57"/>
              <w:jc w:val="center"/>
              <w:rPr>
                <w:sz w:val="18"/>
                <w:szCs w:val="18"/>
              </w:rPr>
            </w:pPr>
          </w:p>
        </w:tc>
        <w:tc>
          <w:tcPr>
            <w:tcW w:w="848" w:type="dxa"/>
            <w:vMerge w:val="restart"/>
            <w:shd w:val="clear" w:color="auto" w:fill="BDD6EE" w:themeFill="accent1" w:themeFillTint="66"/>
            <w:vAlign w:val="center"/>
          </w:tcPr>
          <w:p w:rsidR="003C376F" w:rsidRDefault="003C376F" w:rsidP="003C376F">
            <w:pPr>
              <w:ind w:left="-57" w:right="-57"/>
              <w:jc w:val="center"/>
              <w:rPr>
                <w:sz w:val="18"/>
                <w:szCs w:val="18"/>
              </w:rPr>
            </w:pPr>
            <w:r>
              <w:rPr>
                <w:sz w:val="18"/>
                <w:szCs w:val="18"/>
              </w:rPr>
              <w:t>Pažangos priemonės numeris</w:t>
            </w:r>
          </w:p>
        </w:tc>
        <w:tc>
          <w:tcPr>
            <w:tcW w:w="969" w:type="dxa"/>
            <w:vMerge w:val="restart"/>
            <w:shd w:val="clear" w:color="auto" w:fill="BDD6EE" w:themeFill="accent1" w:themeFillTint="66"/>
            <w:vAlign w:val="center"/>
          </w:tcPr>
          <w:p w:rsidR="003C376F" w:rsidRDefault="003C376F" w:rsidP="003C376F">
            <w:pPr>
              <w:ind w:left="-57" w:right="-57"/>
              <w:jc w:val="center"/>
              <w:rPr>
                <w:sz w:val="18"/>
                <w:szCs w:val="18"/>
              </w:rPr>
            </w:pPr>
            <w:r>
              <w:rPr>
                <w:sz w:val="18"/>
                <w:szCs w:val="18"/>
              </w:rPr>
              <w:t>Pažangos priemonės pavadini-mas</w:t>
            </w:r>
          </w:p>
        </w:tc>
        <w:tc>
          <w:tcPr>
            <w:tcW w:w="1160" w:type="dxa"/>
            <w:vMerge w:val="restart"/>
            <w:shd w:val="clear" w:color="auto" w:fill="BDD6EE" w:themeFill="accent1" w:themeFillTint="66"/>
            <w:vAlign w:val="center"/>
          </w:tcPr>
          <w:p w:rsidR="003C376F" w:rsidRDefault="003C376F" w:rsidP="003C376F">
            <w:pPr>
              <w:ind w:left="-57" w:right="-57"/>
              <w:jc w:val="center"/>
              <w:rPr>
                <w:sz w:val="18"/>
                <w:szCs w:val="18"/>
              </w:rPr>
            </w:pPr>
            <w:r>
              <w:rPr>
                <w:sz w:val="18"/>
                <w:szCs w:val="18"/>
              </w:rPr>
              <w:t xml:space="preserve">Finansuo-jamos projektų veiklos </w:t>
            </w:r>
          </w:p>
        </w:tc>
        <w:tc>
          <w:tcPr>
            <w:tcW w:w="856" w:type="dxa"/>
            <w:vMerge w:val="restart"/>
            <w:shd w:val="clear" w:color="auto" w:fill="BDD6EE" w:themeFill="accent1" w:themeFillTint="66"/>
            <w:vAlign w:val="center"/>
          </w:tcPr>
          <w:p w:rsidR="003C376F" w:rsidRDefault="003C376F" w:rsidP="003C376F">
            <w:pPr>
              <w:ind w:left="-57" w:right="-57"/>
              <w:jc w:val="center"/>
              <w:rPr>
                <w:sz w:val="18"/>
                <w:szCs w:val="18"/>
              </w:rPr>
            </w:pPr>
            <w:r>
              <w:rPr>
                <w:sz w:val="18"/>
                <w:szCs w:val="18"/>
              </w:rPr>
              <w:t>Politikos tikslas arba reforma</w:t>
            </w:r>
          </w:p>
        </w:tc>
        <w:tc>
          <w:tcPr>
            <w:tcW w:w="709" w:type="dxa"/>
            <w:vMerge w:val="restart"/>
            <w:shd w:val="clear" w:color="auto" w:fill="BDD6EE" w:themeFill="accent1" w:themeFillTint="66"/>
            <w:vAlign w:val="center"/>
          </w:tcPr>
          <w:p w:rsidR="003C376F" w:rsidRDefault="003C376F" w:rsidP="003C376F">
            <w:pPr>
              <w:ind w:left="-57" w:right="-57"/>
              <w:jc w:val="center"/>
              <w:rPr>
                <w:sz w:val="18"/>
                <w:szCs w:val="18"/>
              </w:rPr>
            </w:pPr>
            <w:r>
              <w:rPr>
                <w:sz w:val="18"/>
                <w:szCs w:val="18"/>
              </w:rPr>
              <w:t>Valstybei svarbus projektas</w:t>
            </w:r>
          </w:p>
        </w:tc>
        <w:tc>
          <w:tcPr>
            <w:tcW w:w="708" w:type="dxa"/>
            <w:vMerge w:val="restart"/>
            <w:shd w:val="clear" w:color="auto" w:fill="BDD6EE" w:themeFill="accent1" w:themeFillTint="66"/>
            <w:vAlign w:val="center"/>
          </w:tcPr>
          <w:p w:rsidR="003C376F" w:rsidRDefault="003C376F" w:rsidP="003C376F">
            <w:pPr>
              <w:ind w:left="-57" w:right="-57"/>
              <w:jc w:val="center"/>
              <w:rPr>
                <w:sz w:val="18"/>
                <w:szCs w:val="18"/>
              </w:rPr>
            </w:pPr>
            <w:r>
              <w:rPr>
                <w:sz w:val="18"/>
                <w:szCs w:val="18"/>
              </w:rPr>
              <w:t>Strate-ginės svarbos projektas</w:t>
            </w:r>
          </w:p>
        </w:tc>
        <w:tc>
          <w:tcPr>
            <w:tcW w:w="4697" w:type="dxa"/>
            <w:gridSpan w:val="4"/>
            <w:shd w:val="clear" w:color="auto" w:fill="BDD6EE" w:themeFill="accent1" w:themeFillTint="66"/>
          </w:tcPr>
          <w:p w:rsidR="00CD2C5E" w:rsidRDefault="00CD2C5E" w:rsidP="003C376F">
            <w:pPr>
              <w:ind w:left="-57" w:right="-57"/>
              <w:jc w:val="center"/>
              <w:rPr>
                <w:sz w:val="20"/>
                <w:szCs w:val="18"/>
              </w:rPr>
            </w:pPr>
          </w:p>
          <w:p w:rsidR="00CD2C5E" w:rsidRDefault="00CD2C5E" w:rsidP="003C376F">
            <w:pPr>
              <w:ind w:left="-57" w:right="-57"/>
              <w:jc w:val="center"/>
              <w:rPr>
                <w:sz w:val="20"/>
                <w:szCs w:val="18"/>
              </w:rPr>
            </w:pPr>
          </w:p>
          <w:p w:rsidR="003C376F" w:rsidRDefault="003C376F" w:rsidP="003C376F">
            <w:pPr>
              <w:ind w:left="-57" w:right="-57"/>
              <w:jc w:val="center"/>
              <w:rPr>
                <w:b/>
                <w:bCs/>
                <w:sz w:val="18"/>
                <w:szCs w:val="18"/>
              </w:rPr>
            </w:pPr>
            <w:r>
              <w:rPr>
                <w:sz w:val="20"/>
                <w:szCs w:val="18"/>
              </w:rPr>
              <w:t>Siektini stebėsenos rodikliai</w:t>
            </w:r>
          </w:p>
        </w:tc>
        <w:tc>
          <w:tcPr>
            <w:tcW w:w="987" w:type="dxa"/>
            <w:vMerge w:val="restart"/>
            <w:shd w:val="clear" w:color="auto" w:fill="BDD6EE" w:themeFill="accent1" w:themeFillTint="66"/>
            <w:vAlign w:val="center"/>
          </w:tcPr>
          <w:p w:rsidR="003C376F" w:rsidRDefault="003C376F" w:rsidP="003C376F">
            <w:pPr>
              <w:ind w:left="-57" w:right="-57"/>
              <w:jc w:val="center"/>
              <w:rPr>
                <w:sz w:val="18"/>
                <w:szCs w:val="18"/>
              </w:rPr>
            </w:pPr>
          </w:p>
          <w:p w:rsidR="003C376F" w:rsidRDefault="003C376F" w:rsidP="003C376F">
            <w:pPr>
              <w:ind w:left="-57" w:right="-57"/>
              <w:jc w:val="center"/>
              <w:rPr>
                <w:sz w:val="18"/>
                <w:szCs w:val="18"/>
              </w:rPr>
            </w:pPr>
            <w:r>
              <w:rPr>
                <w:sz w:val="18"/>
                <w:szCs w:val="18"/>
              </w:rPr>
              <w:t>Galimi pareiškėjai</w:t>
            </w:r>
          </w:p>
        </w:tc>
        <w:tc>
          <w:tcPr>
            <w:tcW w:w="780" w:type="dxa"/>
            <w:vMerge w:val="restart"/>
            <w:shd w:val="clear" w:color="auto" w:fill="BDD6EE" w:themeFill="accent1" w:themeFillTint="66"/>
            <w:vAlign w:val="center"/>
          </w:tcPr>
          <w:p w:rsidR="003C376F" w:rsidRDefault="003C376F" w:rsidP="003C376F">
            <w:pPr>
              <w:ind w:left="-57" w:right="-57"/>
              <w:jc w:val="center"/>
              <w:rPr>
                <w:sz w:val="18"/>
                <w:szCs w:val="18"/>
              </w:rPr>
            </w:pPr>
            <w:r>
              <w:rPr>
                <w:sz w:val="18"/>
                <w:szCs w:val="18"/>
              </w:rPr>
              <w:t>Bendra kvieti-mui skirta finansa-vimo lėšų suma (tūkst. eurų)</w:t>
            </w:r>
          </w:p>
        </w:tc>
        <w:tc>
          <w:tcPr>
            <w:tcW w:w="845" w:type="dxa"/>
            <w:vMerge w:val="restart"/>
            <w:shd w:val="clear" w:color="auto" w:fill="BDD6EE" w:themeFill="accent1" w:themeFillTint="66"/>
            <w:vAlign w:val="center"/>
          </w:tcPr>
          <w:p w:rsidR="003C376F" w:rsidRDefault="003C376F" w:rsidP="003C376F">
            <w:pPr>
              <w:ind w:left="-57" w:right="-57"/>
              <w:jc w:val="center"/>
              <w:rPr>
                <w:b/>
                <w:sz w:val="18"/>
                <w:szCs w:val="18"/>
              </w:rPr>
            </w:pPr>
            <w:r>
              <w:rPr>
                <w:sz w:val="18"/>
                <w:szCs w:val="18"/>
              </w:rPr>
              <w:t>Didžiausia galima skirti  finansavimo lėšų suma projektui įgyvendinti (tūkst. eurų)</w:t>
            </w:r>
          </w:p>
        </w:tc>
        <w:tc>
          <w:tcPr>
            <w:tcW w:w="2837" w:type="dxa"/>
            <w:gridSpan w:val="3"/>
            <w:shd w:val="clear" w:color="auto" w:fill="BDD6EE" w:themeFill="accent1" w:themeFillTint="66"/>
            <w:vAlign w:val="center"/>
          </w:tcPr>
          <w:p w:rsidR="003C376F" w:rsidRDefault="003C376F" w:rsidP="003C376F">
            <w:pPr>
              <w:ind w:left="-57" w:right="-57"/>
              <w:jc w:val="center"/>
              <w:rPr>
                <w:b/>
                <w:sz w:val="18"/>
                <w:szCs w:val="18"/>
              </w:rPr>
            </w:pPr>
            <w:r>
              <w:rPr>
                <w:sz w:val="18"/>
                <w:szCs w:val="18"/>
              </w:rPr>
              <w:t>Finansavimo šaltinis (-iai) ir sumos (tūkst. eurų)</w:t>
            </w:r>
          </w:p>
        </w:tc>
        <w:tc>
          <w:tcPr>
            <w:tcW w:w="702" w:type="dxa"/>
            <w:vMerge w:val="restart"/>
            <w:shd w:val="clear" w:color="auto" w:fill="BDD6EE" w:themeFill="accent1" w:themeFillTint="66"/>
            <w:vAlign w:val="center"/>
          </w:tcPr>
          <w:p w:rsidR="003C376F" w:rsidRDefault="003C376F" w:rsidP="003C376F">
            <w:pPr>
              <w:ind w:left="-57" w:right="-57"/>
              <w:jc w:val="center"/>
              <w:rPr>
                <w:b/>
                <w:sz w:val="18"/>
                <w:szCs w:val="18"/>
              </w:rPr>
            </w:pPr>
            <w:r>
              <w:rPr>
                <w:sz w:val="18"/>
                <w:szCs w:val="18"/>
              </w:rPr>
              <w:t>Nuosavo įnašo dydis (tūkst. eurų)</w:t>
            </w:r>
          </w:p>
        </w:tc>
        <w:tc>
          <w:tcPr>
            <w:tcW w:w="2397" w:type="dxa"/>
            <w:gridSpan w:val="3"/>
            <w:shd w:val="clear" w:color="auto" w:fill="BDD6EE" w:themeFill="accent1" w:themeFillTint="66"/>
            <w:vAlign w:val="center"/>
          </w:tcPr>
          <w:p w:rsidR="003C376F" w:rsidRDefault="003C376F" w:rsidP="003C376F">
            <w:pPr>
              <w:ind w:left="-57" w:right="-57"/>
              <w:jc w:val="center"/>
              <w:rPr>
                <w:b/>
                <w:sz w:val="18"/>
                <w:szCs w:val="18"/>
              </w:rPr>
            </w:pPr>
            <w:r>
              <w:rPr>
                <w:sz w:val="18"/>
                <w:szCs w:val="18"/>
              </w:rPr>
              <w:t>Finansavimas pagal regioną, kuriam gali būti priskiriamas (-i) projektas (-ai)</w:t>
            </w:r>
            <w:r>
              <w:rPr>
                <w:i/>
                <w:sz w:val="18"/>
                <w:szCs w:val="18"/>
              </w:rPr>
              <w:t xml:space="preserve"> </w:t>
            </w:r>
            <w:r w:rsidRPr="003C376F">
              <w:rPr>
                <w:i/>
                <w:sz w:val="12"/>
                <w:szCs w:val="12"/>
              </w:rPr>
              <w:t>(taikoma, kai priemonės veikla (poveiklė) finansuojama iš Europos regioninės plėtros fondo, „Europos socialinio fondo +“ arba Teisingos pertvarkos fondo lėšų)</w:t>
            </w:r>
          </w:p>
        </w:tc>
        <w:tc>
          <w:tcPr>
            <w:tcW w:w="863" w:type="dxa"/>
            <w:vMerge w:val="restart"/>
            <w:shd w:val="clear" w:color="auto" w:fill="BDD6EE" w:themeFill="accent1" w:themeFillTint="66"/>
            <w:vAlign w:val="center"/>
          </w:tcPr>
          <w:p w:rsidR="003C376F" w:rsidRDefault="003C376F" w:rsidP="003C376F">
            <w:pPr>
              <w:ind w:left="-57" w:right="-57"/>
              <w:jc w:val="center"/>
              <w:rPr>
                <w:sz w:val="18"/>
                <w:szCs w:val="18"/>
              </w:rPr>
            </w:pPr>
            <w:r>
              <w:rPr>
                <w:sz w:val="18"/>
                <w:szCs w:val="18"/>
              </w:rPr>
              <w:t>Planuojama kvietimo pradžios data</w:t>
            </w:r>
          </w:p>
        </w:tc>
        <w:tc>
          <w:tcPr>
            <w:tcW w:w="894" w:type="dxa"/>
            <w:vMerge w:val="restart"/>
            <w:shd w:val="clear" w:color="auto" w:fill="BDD6EE" w:themeFill="accent1" w:themeFillTint="66"/>
            <w:vAlign w:val="center"/>
          </w:tcPr>
          <w:p w:rsidR="003C376F" w:rsidRDefault="003C376F" w:rsidP="003C376F">
            <w:pPr>
              <w:ind w:left="-57" w:right="-57"/>
              <w:jc w:val="center"/>
              <w:rPr>
                <w:sz w:val="18"/>
                <w:szCs w:val="18"/>
              </w:rPr>
            </w:pPr>
            <w:r>
              <w:rPr>
                <w:sz w:val="18"/>
                <w:szCs w:val="18"/>
              </w:rPr>
              <w:t>Planuoja-ma kvietimo pabaigos data</w:t>
            </w:r>
          </w:p>
        </w:tc>
      </w:tr>
      <w:tr w:rsidR="001F68D6" w:rsidTr="00B53C0E">
        <w:trPr>
          <w:trHeight w:val="621"/>
        </w:trPr>
        <w:tc>
          <w:tcPr>
            <w:tcW w:w="844" w:type="dxa"/>
            <w:vMerge/>
            <w:shd w:val="clear" w:color="auto" w:fill="BDD6EE" w:themeFill="accent1" w:themeFillTint="66"/>
            <w:vAlign w:val="center"/>
          </w:tcPr>
          <w:p w:rsidR="001F68D6" w:rsidRDefault="001F68D6" w:rsidP="001F68D6">
            <w:pPr>
              <w:ind w:left="-57" w:right="-57"/>
              <w:jc w:val="center"/>
              <w:rPr>
                <w:sz w:val="18"/>
                <w:szCs w:val="18"/>
              </w:rPr>
            </w:pPr>
          </w:p>
        </w:tc>
        <w:tc>
          <w:tcPr>
            <w:tcW w:w="852" w:type="dxa"/>
            <w:vMerge/>
            <w:shd w:val="clear" w:color="auto" w:fill="BDD6EE" w:themeFill="accent1" w:themeFillTint="66"/>
          </w:tcPr>
          <w:p w:rsidR="001F68D6" w:rsidRDefault="001F68D6" w:rsidP="001F68D6">
            <w:pPr>
              <w:ind w:left="-57" w:right="-57"/>
              <w:jc w:val="center"/>
              <w:rPr>
                <w:sz w:val="18"/>
                <w:szCs w:val="18"/>
              </w:rPr>
            </w:pPr>
          </w:p>
        </w:tc>
        <w:tc>
          <w:tcPr>
            <w:tcW w:w="848" w:type="dxa"/>
            <w:vMerge/>
            <w:shd w:val="clear" w:color="auto" w:fill="BDD6EE" w:themeFill="accent1" w:themeFillTint="66"/>
            <w:vAlign w:val="center"/>
          </w:tcPr>
          <w:p w:rsidR="001F68D6" w:rsidRDefault="001F68D6" w:rsidP="001F68D6">
            <w:pPr>
              <w:ind w:left="-57" w:right="-57"/>
              <w:jc w:val="center"/>
              <w:rPr>
                <w:sz w:val="18"/>
                <w:szCs w:val="18"/>
              </w:rPr>
            </w:pPr>
          </w:p>
        </w:tc>
        <w:tc>
          <w:tcPr>
            <w:tcW w:w="969" w:type="dxa"/>
            <w:vMerge/>
            <w:shd w:val="clear" w:color="auto" w:fill="BDD6EE" w:themeFill="accent1" w:themeFillTint="66"/>
            <w:vAlign w:val="center"/>
          </w:tcPr>
          <w:p w:rsidR="001F68D6" w:rsidRDefault="001F68D6" w:rsidP="001F68D6">
            <w:pPr>
              <w:ind w:left="-57" w:right="-57"/>
              <w:jc w:val="center"/>
              <w:rPr>
                <w:sz w:val="18"/>
                <w:szCs w:val="18"/>
              </w:rPr>
            </w:pPr>
          </w:p>
        </w:tc>
        <w:tc>
          <w:tcPr>
            <w:tcW w:w="1160" w:type="dxa"/>
            <w:vMerge/>
            <w:shd w:val="clear" w:color="auto" w:fill="BDD6EE" w:themeFill="accent1" w:themeFillTint="66"/>
            <w:vAlign w:val="center"/>
          </w:tcPr>
          <w:p w:rsidR="001F68D6" w:rsidRDefault="001F68D6" w:rsidP="001F68D6">
            <w:pPr>
              <w:ind w:left="-57" w:right="-57"/>
              <w:jc w:val="center"/>
              <w:rPr>
                <w:sz w:val="18"/>
                <w:szCs w:val="18"/>
              </w:rPr>
            </w:pPr>
          </w:p>
        </w:tc>
        <w:tc>
          <w:tcPr>
            <w:tcW w:w="856" w:type="dxa"/>
            <w:vMerge/>
            <w:shd w:val="clear" w:color="auto" w:fill="BDD6EE" w:themeFill="accent1" w:themeFillTint="66"/>
            <w:vAlign w:val="center"/>
          </w:tcPr>
          <w:p w:rsidR="001F68D6" w:rsidRDefault="001F68D6" w:rsidP="001F68D6">
            <w:pPr>
              <w:ind w:left="-57" w:right="-57"/>
              <w:jc w:val="center"/>
              <w:rPr>
                <w:sz w:val="18"/>
                <w:szCs w:val="18"/>
              </w:rPr>
            </w:pPr>
          </w:p>
        </w:tc>
        <w:tc>
          <w:tcPr>
            <w:tcW w:w="709" w:type="dxa"/>
            <w:vMerge/>
            <w:shd w:val="clear" w:color="auto" w:fill="BDD6EE" w:themeFill="accent1" w:themeFillTint="66"/>
            <w:vAlign w:val="center"/>
          </w:tcPr>
          <w:p w:rsidR="001F68D6" w:rsidRDefault="001F68D6" w:rsidP="001F68D6">
            <w:pPr>
              <w:ind w:left="-57" w:right="-57"/>
              <w:jc w:val="center"/>
              <w:rPr>
                <w:sz w:val="18"/>
                <w:szCs w:val="18"/>
              </w:rPr>
            </w:pPr>
          </w:p>
        </w:tc>
        <w:tc>
          <w:tcPr>
            <w:tcW w:w="708" w:type="dxa"/>
            <w:vMerge/>
            <w:shd w:val="clear" w:color="auto" w:fill="BDD6EE" w:themeFill="accent1" w:themeFillTint="66"/>
            <w:vAlign w:val="center"/>
          </w:tcPr>
          <w:p w:rsidR="001F68D6" w:rsidRDefault="001F68D6" w:rsidP="001F68D6">
            <w:pPr>
              <w:ind w:left="-57" w:right="-57"/>
              <w:jc w:val="center"/>
              <w:rPr>
                <w:sz w:val="18"/>
                <w:szCs w:val="18"/>
              </w:rPr>
            </w:pPr>
          </w:p>
        </w:tc>
        <w:tc>
          <w:tcPr>
            <w:tcW w:w="2268" w:type="dxa"/>
            <w:shd w:val="clear" w:color="auto" w:fill="BDD6EE" w:themeFill="accent1" w:themeFillTint="66"/>
          </w:tcPr>
          <w:p w:rsidR="001F68D6" w:rsidRDefault="001F68D6" w:rsidP="001F68D6">
            <w:pPr>
              <w:ind w:left="-57" w:right="-57"/>
              <w:jc w:val="center"/>
              <w:rPr>
                <w:b/>
                <w:bCs/>
                <w:sz w:val="18"/>
                <w:szCs w:val="18"/>
              </w:rPr>
            </w:pPr>
            <w:r>
              <w:rPr>
                <w:b/>
                <w:bCs/>
                <w:sz w:val="18"/>
                <w:szCs w:val="18"/>
              </w:rPr>
              <w:t>Pavadinimas</w:t>
            </w:r>
          </w:p>
        </w:tc>
        <w:tc>
          <w:tcPr>
            <w:tcW w:w="850" w:type="dxa"/>
            <w:shd w:val="clear" w:color="auto" w:fill="BDD6EE" w:themeFill="accent1" w:themeFillTint="66"/>
          </w:tcPr>
          <w:p w:rsidR="001F68D6" w:rsidRDefault="001F68D6" w:rsidP="001F68D6">
            <w:pPr>
              <w:ind w:left="-57" w:right="-57"/>
              <w:jc w:val="center"/>
              <w:rPr>
                <w:b/>
                <w:bCs/>
                <w:sz w:val="18"/>
                <w:szCs w:val="18"/>
              </w:rPr>
            </w:pPr>
            <w:r>
              <w:rPr>
                <w:b/>
                <w:bCs/>
                <w:sz w:val="18"/>
                <w:szCs w:val="18"/>
              </w:rPr>
              <w:t>Kodas</w:t>
            </w:r>
          </w:p>
        </w:tc>
        <w:tc>
          <w:tcPr>
            <w:tcW w:w="775" w:type="dxa"/>
            <w:shd w:val="clear" w:color="auto" w:fill="BDD6EE" w:themeFill="accent1" w:themeFillTint="66"/>
          </w:tcPr>
          <w:p w:rsidR="001F68D6" w:rsidRDefault="001F68D6" w:rsidP="001F68D6">
            <w:pPr>
              <w:ind w:left="-57" w:right="-57"/>
              <w:jc w:val="center"/>
              <w:rPr>
                <w:b/>
                <w:bCs/>
                <w:sz w:val="18"/>
                <w:szCs w:val="18"/>
              </w:rPr>
            </w:pPr>
            <w:r>
              <w:rPr>
                <w:b/>
                <w:bCs/>
                <w:sz w:val="18"/>
                <w:szCs w:val="18"/>
              </w:rPr>
              <w:t>Matavi-mo vienetas</w:t>
            </w:r>
          </w:p>
        </w:tc>
        <w:tc>
          <w:tcPr>
            <w:tcW w:w="804" w:type="dxa"/>
            <w:shd w:val="clear" w:color="auto" w:fill="BDD6EE" w:themeFill="accent1" w:themeFillTint="66"/>
          </w:tcPr>
          <w:p w:rsidR="001F68D6" w:rsidRDefault="001F68D6" w:rsidP="001F68D6">
            <w:pPr>
              <w:ind w:left="-57" w:right="-57"/>
              <w:jc w:val="center"/>
              <w:rPr>
                <w:b/>
                <w:bCs/>
                <w:sz w:val="18"/>
                <w:szCs w:val="18"/>
              </w:rPr>
            </w:pPr>
            <w:r>
              <w:rPr>
                <w:b/>
                <w:bCs/>
                <w:sz w:val="18"/>
                <w:szCs w:val="18"/>
              </w:rPr>
              <w:t>Siektina reikšmė</w:t>
            </w:r>
          </w:p>
        </w:tc>
        <w:tc>
          <w:tcPr>
            <w:tcW w:w="987" w:type="dxa"/>
            <w:vMerge/>
            <w:shd w:val="clear" w:color="auto" w:fill="BDD6EE" w:themeFill="accent1" w:themeFillTint="66"/>
          </w:tcPr>
          <w:p w:rsidR="001F68D6" w:rsidRDefault="001F68D6" w:rsidP="001F68D6">
            <w:pPr>
              <w:ind w:left="-57" w:right="-57"/>
              <w:jc w:val="center"/>
              <w:rPr>
                <w:sz w:val="18"/>
                <w:szCs w:val="18"/>
              </w:rPr>
            </w:pPr>
          </w:p>
        </w:tc>
        <w:tc>
          <w:tcPr>
            <w:tcW w:w="780" w:type="dxa"/>
            <w:vMerge/>
            <w:shd w:val="clear" w:color="auto" w:fill="BDD6EE" w:themeFill="accent1" w:themeFillTint="66"/>
            <w:vAlign w:val="center"/>
          </w:tcPr>
          <w:p w:rsidR="001F68D6" w:rsidRDefault="001F68D6" w:rsidP="001F68D6">
            <w:pPr>
              <w:ind w:left="-57" w:right="-57"/>
              <w:jc w:val="center"/>
              <w:rPr>
                <w:sz w:val="18"/>
                <w:szCs w:val="18"/>
              </w:rPr>
            </w:pPr>
          </w:p>
        </w:tc>
        <w:tc>
          <w:tcPr>
            <w:tcW w:w="845" w:type="dxa"/>
            <w:vMerge/>
            <w:shd w:val="clear" w:color="auto" w:fill="BDD6EE" w:themeFill="accent1" w:themeFillTint="66"/>
            <w:vAlign w:val="center"/>
          </w:tcPr>
          <w:p w:rsidR="001F68D6" w:rsidRDefault="001F68D6" w:rsidP="001F68D6">
            <w:pPr>
              <w:ind w:left="-57" w:right="-57"/>
              <w:jc w:val="center"/>
              <w:rPr>
                <w:b/>
                <w:sz w:val="18"/>
                <w:szCs w:val="18"/>
              </w:rPr>
            </w:pPr>
          </w:p>
        </w:tc>
        <w:tc>
          <w:tcPr>
            <w:tcW w:w="883" w:type="dxa"/>
            <w:shd w:val="clear" w:color="auto" w:fill="BDD6EE" w:themeFill="accent1" w:themeFillTint="66"/>
            <w:vAlign w:val="center"/>
          </w:tcPr>
          <w:p w:rsidR="001F68D6" w:rsidRDefault="001F68D6" w:rsidP="001F68D6">
            <w:pPr>
              <w:ind w:left="-57" w:right="-57"/>
              <w:jc w:val="center"/>
              <w:rPr>
                <w:b/>
                <w:sz w:val="18"/>
                <w:szCs w:val="18"/>
              </w:rPr>
            </w:pPr>
            <w:r>
              <w:rPr>
                <w:b/>
                <w:sz w:val="18"/>
                <w:szCs w:val="18"/>
              </w:rPr>
              <w:t>Europos Sąjungos fondų lėšos</w:t>
            </w:r>
          </w:p>
        </w:tc>
        <w:tc>
          <w:tcPr>
            <w:tcW w:w="1103" w:type="dxa"/>
            <w:shd w:val="clear" w:color="auto" w:fill="BDD6EE" w:themeFill="accent1" w:themeFillTint="66"/>
            <w:vAlign w:val="center"/>
          </w:tcPr>
          <w:p w:rsidR="001F68D6" w:rsidRDefault="001F68D6" w:rsidP="001F68D6">
            <w:pPr>
              <w:ind w:left="-57" w:right="-57"/>
              <w:jc w:val="center"/>
              <w:rPr>
                <w:b/>
                <w:sz w:val="18"/>
                <w:szCs w:val="18"/>
              </w:rPr>
            </w:pPr>
            <w:r>
              <w:rPr>
                <w:b/>
                <w:sz w:val="18"/>
                <w:szCs w:val="18"/>
              </w:rPr>
              <w:t>Ekonomikos gaivinimo ir atsparumo didinimo priemonės lėšos</w:t>
            </w:r>
          </w:p>
        </w:tc>
        <w:tc>
          <w:tcPr>
            <w:tcW w:w="851" w:type="dxa"/>
            <w:shd w:val="clear" w:color="auto" w:fill="BDD6EE" w:themeFill="accent1" w:themeFillTint="66"/>
            <w:vAlign w:val="center"/>
          </w:tcPr>
          <w:p w:rsidR="001F68D6" w:rsidRDefault="001F68D6" w:rsidP="001F68D6">
            <w:pPr>
              <w:ind w:left="-57" w:right="-57"/>
              <w:jc w:val="center"/>
              <w:rPr>
                <w:b/>
                <w:sz w:val="18"/>
                <w:szCs w:val="18"/>
              </w:rPr>
            </w:pPr>
            <w:r>
              <w:rPr>
                <w:b/>
                <w:sz w:val="18"/>
                <w:szCs w:val="18"/>
              </w:rPr>
              <w:t>Lietuvos Respubli-kos valstybės biudžeto lėšos</w:t>
            </w:r>
          </w:p>
        </w:tc>
        <w:tc>
          <w:tcPr>
            <w:tcW w:w="702" w:type="dxa"/>
            <w:vMerge/>
            <w:shd w:val="clear" w:color="auto" w:fill="BDD6EE" w:themeFill="accent1" w:themeFillTint="66"/>
            <w:vAlign w:val="center"/>
          </w:tcPr>
          <w:p w:rsidR="001F68D6" w:rsidRDefault="001F68D6" w:rsidP="001F68D6">
            <w:pPr>
              <w:ind w:left="-57" w:right="-57"/>
              <w:jc w:val="center"/>
              <w:rPr>
                <w:b/>
                <w:sz w:val="18"/>
                <w:szCs w:val="18"/>
              </w:rPr>
            </w:pPr>
          </w:p>
        </w:tc>
        <w:tc>
          <w:tcPr>
            <w:tcW w:w="702" w:type="dxa"/>
            <w:shd w:val="clear" w:color="auto" w:fill="BDD6EE" w:themeFill="accent1" w:themeFillTint="66"/>
            <w:vAlign w:val="center"/>
          </w:tcPr>
          <w:p w:rsidR="001F68D6" w:rsidRDefault="001F68D6" w:rsidP="001F68D6">
            <w:pPr>
              <w:ind w:left="-57" w:right="-57"/>
              <w:jc w:val="center"/>
              <w:rPr>
                <w:b/>
                <w:sz w:val="18"/>
                <w:szCs w:val="18"/>
              </w:rPr>
            </w:pPr>
            <w:r>
              <w:rPr>
                <w:b/>
                <w:sz w:val="18"/>
                <w:szCs w:val="18"/>
              </w:rPr>
              <w:t>Sostinės regionas</w:t>
            </w:r>
          </w:p>
        </w:tc>
        <w:tc>
          <w:tcPr>
            <w:tcW w:w="980" w:type="dxa"/>
            <w:shd w:val="clear" w:color="auto" w:fill="BDD6EE" w:themeFill="accent1" w:themeFillTint="66"/>
            <w:vAlign w:val="center"/>
          </w:tcPr>
          <w:p w:rsidR="001F68D6" w:rsidRDefault="001F68D6" w:rsidP="001F68D6">
            <w:pPr>
              <w:ind w:left="-57" w:right="-57"/>
              <w:jc w:val="center"/>
              <w:rPr>
                <w:b/>
                <w:sz w:val="18"/>
                <w:szCs w:val="18"/>
              </w:rPr>
            </w:pPr>
            <w:r>
              <w:rPr>
                <w:b/>
                <w:sz w:val="18"/>
                <w:szCs w:val="18"/>
              </w:rPr>
              <w:t>Vidurio ir vakarų Lietuva</w:t>
            </w:r>
          </w:p>
        </w:tc>
        <w:tc>
          <w:tcPr>
            <w:tcW w:w="715" w:type="dxa"/>
            <w:shd w:val="clear" w:color="auto" w:fill="BDD6EE" w:themeFill="accent1" w:themeFillTint="66"/>
            <w:vAlign w:val="center"/>
          </w:tcPr>
          <w:p w:rsidR="001F68D6" w:rsidRDefault="001F68D6" w:rsidP="001F68D6">
            <w:pPr>
              <w:ind w:left="-57" w:right="-57"/>
              <w:jc w:val="center"/>
              <w:rPr>
                <w:b/>
                <w:sz w:val="18"/>
                <w:szCs w:val="18"/>
              </w:rPr>
            </w:pPr>
            <w:r>
              <w:rPr>
                <w:b/>
                <w:sz w:val="18"/>
                <w:szCs w:val="18"/>
              </w:rPr>
              <w:t>Visa Lietuva</w:t>
            </w:r>
          </w:p>
        </w:tc>
        <w:tc>
          <w:tcPr>
            <w:tcW w:w="863" w:type="dxa"/>
            <w:vMerge/>
            <w:shd w:val="clear" w:color="auto" w:fill="BDD6EE" w:themeFill="accent1" w:themeFillTint="66"/>
            <w:vAlign w:val="center"/>
          </w:tcPr>
          <w:p w:rsidR="001F68D6" w:rsidRDefault="001F68D6" w:rsidP="001F68D6">
            <w:pPr>
              <w:ind w:left="-57" w:right="-57"/>
              <w:jc w:val="center"/>
              <w:rPr>
                <w:sz w:val="18"/>
                <w:szCs w:val="18"/>
              </w:rPr>
            </w:pPr>
          </w:p>
        </w:tc>
        <w:tc>
          <w:tcPr>
            <w:tcW w:w="894" w:type="dxa"/>
            <w:vMerge/>
            <w:shd w:val="clear" w:color="auto" w:fill="BDD6EE" w:themeFill="accent1" w:themeFillTint="66"/>
            <w:vAlign w:val="center"/>
          </w:tcPr>
          <w:p w:rsidR="001F68D6" w:rsidRDefault="001F68D6" w:rsidP="001F68D6">
            <w:pPr>
              <w:ind w:left="-57" w:right="-57"/>
              <w:jc w:val="center"/>
              <w:rPr>
                <w:sz w:val="18"/>
                <w:szCs w:val="18"/>
              </w:rPr>
            </w:pPr>
          </w:p>
        </w:tc>
      </w:tr>
      <w:tr w:rsidR="003C376F" w:rsidTr="00B53C0E">
        <w:trPr>
          <w:trHeight w:val="255"/>
        </w:trPr>
        <w:tc>
          <w:tcPr>
            <w:tcW w:w="844" w:type="dxa"/>
            <w:shd w:val="clear" w:color="auto" w:fill="BDD6EE" w:themeFill="accent1" w:themeFillTint="66"/>
            <w:vAlign w:val="center"/>
          </w:tcPr>
          <w:p w:rsidR="001F68D6" w:rsidRDefault="001F68D6" w:rsidP="001F68D6">
            <w:pPr>
              <w:ind w:left="-57" w:right="-57"/>
              <w:jc w:val="center"/>
              <w:rPr>
                <w:i/>
                <w:sz w:val="18"/>
                <w:szCs w:val="18"/>
              </w:rPr>
            </w:pPr>
            <w:r>
              <w:rPr>
                <w:i/>
                <w:sz w:val="18"/>
                <w:szCs w:val="18"/>
              </w:rPr>
              <w:t>1</w:t>
            </w:r>
          </w:p>
        </w:tc>
        <w:tc>
          <w:tcPr>
            <w:tcW w:w="852" w:type="dxa"/>
            <w:shd w:val="clear" w:color="auto" w:fill="BDD6EE" w:themeFill="accent1" w:themeFillTint="66"/>
            <w:vAlign w:val="center"/>
          </w:tcPr>
          <w:p w:rsidR="001F68D6" w:rsidRDefault="001F68D6" w:rsidP="001F68D6">
            <w:pPr>
              <w:ind w:left="-57" w:right="-57"/>
              <w:jc w:val="center"/>
              <w:rPr>
                <w:i/>
                <w:sz w:val="18"/>
                <w:szCs w:val="18"/>
              </w:rPr>
            </w:pPr>
            <w:r>
              <w:rPr>
                <w:i/>
                <w:sz w:val="18"/>
                <w:szCs w:val="18"/>
              </w:rPr>
              <w:t>2</w:t>
            </w:r>
          </w:p>
        </w:tc>
        <w:tc>
          <w:tcPr>
            <w:tcW w:w="848" w:type="dxa"/>
            <w:shd w:val="clear" w:color="auto" w:fill="BDD6EE" w:themeFill="accent1" w:themeFillTint="66"/>
            <w:vAlign w:val="center"/>
          </w:tcPr>
          <w:p w:rsidR="001F68D6" w:rsidRDefault="001F68D6" w:rsidP="001F68D6">
            <w:pPr>
              <w:ind w:left="-57" w:right="-57"/>
              <w:jc w:val="center"/>
              <w:rPr>
                <w:i/>
                <w:sz w:val="18"/>
                <w:szCs w:val="18"/>
              </w:rPr>
            </w:pPr>
            <w:r>
              <w:rPr>
                <w:i/>
                <w:iCs/>
                <w:sz w:val="18"/>
                <w:szCs w:val="18"/>
              </w:rPr>
              <w:t>3</w:t>
            </w:r>
          </w:p>
        </w:tc>
        <w:tc>
          <w:tcPr>
            <w:tcW w:w="969" w:type="dxa"/>
            <w:shd w:val="clear" w:color="auto" w:fill="BDD6EE" w:themeFill="accent1" w:themeFillTint="66"/>
            <w:vAlign w:val="center"/>
          </w:tcPr>
          <w:p w:rsidR="001F68D6" w:rsidRDefault="001F68D6" w:rsidP="001F68D6">
            <w:pPr>
              <w:ind w:left="-57" w:right="-57"/>
              <w:jc w:val="center"/>
              <w:rPr>
                <w:i/>
                <w:sz w:val="18"/>
                <w:szCs w:val="18"/>
              </w:rPr>
            </w:pPr>
            <w:r>
              <w:rPr>
                <w:i/>
                <w:iCs/>
                <w:sz w:val="18"/>
                <w:szCs w:val="18"/>
              </w:rPr>
              <w:t>4</w:t>
            </w:r>
          </w:p>
        </w:tc>
        <w:tc>
          <w:tcPr>
            <w:tcW w:w="1160" w:type="dxa"/>
            <w:shd w:val="clear" w:color="auto" w:fill="BDD6EE" w:themeFill="accent1" w:themeFillTint="66"/>
            <w:vAlign w:val="center"/>
          </w:tcPr>
          <w:p w:rsidR="001F68D6" w:rsidRDefault="001F68D6" w:rsidP="001F68D6">
            <w:pPr>
              <w:ind w:left="-57" w:right="-57"/>
              <w:jc w:val="center"/>
              <w:rPr>
                <w:i/>
                <w:iCs/>
                <w:sz w:val="18"/>
                <w:szCs w:val="18"/>
              </w:rPr>
            </w:pPr>
            <w:r>
              <w:rPr>
                <w:i/>
                <w:sz w:val="18"/>
                <w:szCs w:val="18"/>
              </w:rPr>
              <w:t>5</w:t>
            </w:r>
          </w:p>
        </w:tc>
        <w:tc>
          <w:tcPr>
            <w:tcW w:w="856" w:type="dxa"/>
            <w:shd w:val="clear" w:color="auto" w:fill="BDD6EE" w:themeFill="accent1" w:themeFillTint="66"/>
            <w:vAlign w:val="center"/>
          </w:tcPr>
          <w:p w:rsidR="001F68D6" w:rsidRDefault="001F68D6" w:rsidP="001F68D6">
            <w:pPr>
              <w:ind w:left="-57" w:right="-57"/>
              <w:jc w:val="center"/>
              <w:rPr>
                <w:i/>
                <w:iCs/>
                <w:sz w:val="18"/>
                <w:szCs w:val="18"/>
              </w:rPr>
            </w:pPr>
            <w:r>
              <w:rPr>
                <w:i/>
                <w:sz w:val="18"/>
                <w:szCs w:val="18"/>
              </w:rPr>
              <w:t>6</w:t>
            </w:r>
          </w:p>
        </w:tc>
        <w:tc>
          <w:tcPr>
            <w:tcW w:w="709" w:type="dxa"/>
            <w:shd w:val="clear" w:color="auto" w:fill="BDD6EE" w:themeFill="accent1" w:themeFillTint="66"/>
            <w:vAlign w:val="center"/>
          </w:tcPr>
          <w:p w:rsidR="001F68D6" w:rsidRDefault="001F68D6" w:rsidP="001F68D6">
            <w:pPr>
              <w:ind w:left="-57" w:right="-57"/>
              <w:jc w:val="center"/>
              <w:rPr>
                <w:i/>
                <w:sz w:val="18"/>
                <w:szCs w:val="18"/>
              </w:rPr>
            </w:pPr>
            <w:r>
              <w:rPr>
                <w:i/>
                <w:iCs/>
                <w:sz w:val="18"/>
                <w:szCs w:val="18"/>
              </w:rPr>
              <w:t>7</w:t>
            </w:r>
          </w:p>
        </w:tc>
        <w:tc>
          <w:tcPr>
            <w:tcW w:w="708" w:type="dxa"/>
            <w:shd w:val="clear" w:color="auto" w:fill="BDD6EE" w:themeFill="accent1" w:themeFillTint="66"/>
          </w:tcPr>
          <w:p w:rsidR="001F68D6" w:rsidRDefault="001F68D6" w:rsidP="001F68D6">
            <w:pPr>
              <w:ind w:left="-57" w:right="-57"/>
              <w:jc w:val="center"/>
              <w:rPr>
                <w:i/>
                <w:sz w:val="18"/>
                <w:szCs w:val="18"/>
              </w:rPr>
            </w:pPr>
            <w:r>
              <w:rPr>
                <w:i/>
                <w:iCs/>
                <w:sz w:val="18"/>
                <w:szCs w:val="18"/>
              </w:rPr>
              <w:t>8</w:t>
            </w:r>
          </w:p>
        </w:tc>
        <w:tc>
          <w:tcPr>
            <w:tcW w:w="2268" w:type="dxa"/>
            <w:shd w:val="clear" w:color="auto" w:fill="BDD6EE" w:themeFill="accent1" w:themeFillTint="66"/>
            <w:vAlign w:val="center"/>
          </w:tcPr>
          <w:p w:rsidR="001F68D6" w:rsidRDefault="001F68D6" w:rsidP="001F68D6">
            <w:pPr>
              <w:ind w:left="-57" w:right="-57"/>
              <w:jc w:val="center"/>
              <w:rPr>
                <w:i/>
                <w:iCs/>
                <w:sz w:val="18"/>
                <w:szCs w:val="18"/>
              </w:rPr>
            </w:pPr>
            <w:r>
              <w:rPr>
                <w:i/>
                <w:iCs/>
                <w:sz w:val="18"/>
                <w:szCs w:val="18"/>
              </w:rPr>
              <w:t>9</w:t>
            </w:r>
          </w:p>
        </w:tc>
        <w:tc>
          <w:tcPr>
            <w:tcW w:w="850" w:type="dxa"/>
            <w:shd w:val="clear" w:color="auto" w:fill="BDD6EE" w:themeFill="accent1" w:themeFillTint="66"/>
            <w:vAlign w:val="center"/>
          </w:tcPr>
          <w:p w:rsidR="001F68D6" w:rsidRDefault="001F68D6" w:rsidP="001F68D6">
            <w:pPr>
              <w:ind w:left="-57" w:right="-57"/>
              <w:jc w:val="center"/>
              <w:rPr>
                <w:i/>
                <w:iCs/>
                <w:sz w:val="18"/>
                <w:szCs w:val="18"/>
              </w:rPr>
            </w:pPr>
            <w:r>
              <w:rPr>
                <w:i/>
                <w:iCs/>
                <w:sz w:val="18"/>
                <w:szCs w:val="18"/>
              </w:rPr>
              <w:t>10</w:t>
            </w:r>
          </w:p>
        </w:tc>
        <w:tc>
          <w:tcPr>
            <w:tcW w:w="775" w:type="dxa"/>
            <w:shd w:val="clear" w:color="auto" w:fill="BDD6EE" w:themeFill="accent1" w:themeFillTint="66"/>
            <w:vAlign w:val="center"/>
          </w:tcPr>
          <w:p w:rsidR="001F68D6" w:rsidRDefault="001F68D6" w:rsidP="001F68D6">
            <w:pPr>
              <w:ind w:left="-57" w:right="-57"/>
              <w:jc w:val="center"/>
              <w:rPr>
                <w:i/>
                <w:iCs/>
                <w:sz w:val="18"/>
                <w:szCs w:val="18"/>
              </w:rPr>
            </w:pPr>
            <w:r>
              <w:rPr>
                <w:i/>
                <w:sz w:val="18"/>
                <w:szCs w:val="18"/>
              </w:rPr>
              <w:t>11</w:t>
            </w:r>
          </w:p>
        </w:tc>
        <w:tc>
          <w:tcPr>
            <w:tcW w:w="804" w:type="dxa"/>
            <w:shd w:val="clear" w:color="auto" w:fill="BDD6EE" w:themeFill="accent1" w:themeFillTint="66"/>
            <w:vAlign w:val="center"/>
          </w:tcPr>
          <w:p w:rsidR="001F68D6" w:rsidRDefault="001F68D6" w:rsidP="001F68D6">
            <w:pPr>
              <w:ind w:left="-57" w:right="-57"/>
              <w:jc w:val="center"/>
              <w:rPr>
                <w:i/>
                <w:iCs/>
                <w:sz w:val="18"/>
                <w:szCs w:val="18"/>
              </w:rPr>
            </w:pPr>
            <w:r>
              <w:rPr>
                <w:i/>
                <w:iCs/>
                <w:sz w:val="18"/>
                <w:szCs w:val="18"/>
              </w:rPr>
              <w:t>12</w:t>
            </w:r>
          </w:p>
        </w:tc>
        <w:tc>
          <w:tcPr>
            <w:tcW w:w="987" w:type="dxa"/>
            <w:shd w:val="clear" w:color="auto" w:fill="BDD6EE" w:themeFill="accent1" w:themeFillTint="66"/>
            <w:vAlign w:val="center"/>
          </w:tcPr>
          <w:p w:rsidR="001F68D6" w:rsidRDefault="001F68D6" w:rsidP="001F68D6">
            <w:pPr>
              <w:ind w:left="-57" w:right="-57"/>
              <w:jc w:val="center"/>
              <w:rPr>
                <w:i/>
                <w:iCs/>
                <w:sz w:val="18"/>
                <w:szCs w:val="18"/>
              </w:rPr>
            </w:pPr>
            <w:r>
              <w:rPr>
                <w:i/>
                <w:iCs/>
                <w:sz w:val="18"/>
                <w:szCs w:val="18"/>
              </w:rPr>
              <w:t>13</w:t>
            </w:r>
          </w:p>
        </w:tc>
        <w:tc>
          <w:tcPr>
            <w:tcW w:w="780" w:type="dxa"/>
            <w:shd w:val="clear" w:color="auto" w:fill="BDD6EE" w:themeFill="accent1" w:themeFillTint="66"/>
            <w:vAlign w:val="center"/>
          </w:tcPr>
          <w:p w:rsidR="001F68D6" w:rsidRDefault="001F68D6" w:rsidP="001F68D6">
            <w:pPr>
              <w:ind w:left="-57" w:right="-57"/>
              <w:jc w:val="center"/>
              <w:rPr>
                <w:i/>
                <w:iCs/>
                <w:sz w:val="18"/>
                <w:szCs w:val="18"/>
              </w:rPr>
            </w:pPr>
            <w:r>
              <w:rPr>
                <w:i/>
                <w:iCs/>
                <w:sz w:val="18"/>
                <w:szCs w:val="18"/>
              </w:rPr>
              <w:t>14</w:t>
            </w:r>
          </w:p>
        </w:tc>
        <w:tc>
          <w:tcPr>
            <w:tcW w:w="845" w:type="dxa"/>
            <w:shd w:val="clear" w:color="auto" w:fill="BDD6EE" w:themeFill="accent1" w:themeFillTint="66"/>
            <w:vAlign w:val="center"/>
          </w:tcPr>
          <w:p w:rsidR="001F68D6" w:rsidRDefault="001F68D6" w:rsidP="001F68D6">
            <w:pPr>
              <w:ind w:left="-57" w:right="-57"/>
              <w:jc w:val="center"/>
              <w:rPr>
                <w:i/>
                <w:sz w:val="18"/>
                <w:szCs w:val="18"/>
              </w:rPr>
            </w:pPr>
            <w:r>
              <w:rPr>
                <w:i/>
                <w:sz w:val="18"/>
                <w:szCs w:val="18"/>
              </w:rPr>
              <w:t>15</w:t>
            </w:r>
          </w:p>
        </w:tc>
        <w:tc>
          <w:tcPr>
            <w:tcW w:w="883" w:type="dxa"/>
            <w:shd w:val="clear" w:color="auto" w:fill="BDD6EE" w:themeFill="accent1" w:themeFillTint="66"/>
            <w:vAlign w:val="center"/>
          </w:tcPr>
          <w:p w:rsidR="001F68D6" w:rsidRDefault="001F68D6" w:rsidP="001F68D6">
            <w:pPr>
              <w:ind w:left="-57" w:right="-57"/>
              <w:jc w:val="center"/>
              <w:rPr>
                <w:i/>
                <w:iCs/>
                <w:sz w:val="18"/>
                <w:szCs w:val="18"/>
              </w:rPr>
            </w:pPr>
            <w:r>
              <w:rPr>
                <w:i/>
                <w:sz w:val="18"/>
                <w:szCs w:val="18"/>
              </w:rPr>
              <w:t>16</w:t>
            </w:r>
          </w:p>
        </w:tc>
        <w:tc>
          <w:tcPr>
            <w:tcW w:w="1103" w:type="dxa"/>
            <w:shd w:val="clear" w:color="auto" w:fill="BDD6EE" w:themeFill="accent1" w:themeFillTint="66"/>
            <w:vAlign w:val="center"/>
          </w:tcPr>
          <w:p w:rsidR="001F68D6" w:rsidRDefault="001F68D6" w:rsidP="001F68D6">
            <w:pPr>
              <w:ind w:left="-57" w:right="-57"/>
              <w:jc w:val="center"/>
              <w:rPr>
                <w:i/>
                <w:iCs/>
                <w:sz w:val="18"/>
                <w:szCs w:val="18"/>
              </w:rPr>
            </w:pPr>
            <w:r>
              <w:rPr>
                <w:i/>
                <w:sz w:val="18"/>
                <w:szCs w:val="18"/>
              </w:rPr>
              <w:t>17</w:t>
            </w:r>
          </w:p>
        </w:tc>
        <w:tc>
          <w:tcPr>
            <w:tcW w:w="851" w:type="dxa"/>
            <w:shd w:val="clear" w:color="auto" w:fill="BDD6EE" w:themeFill="accent1" w:themeFillTint="66"/>
            <w:vAlign w:val="center"/>
          </w:tcPr>
          <w:p w:rsidR="001F68D6" w:rsidRDefault="001F68D6" w:rsidP="001F68D6">
            <w:pPr>
              <w:ind w:left="-57" w:right="-57"/>
              <w:jc w:val="center"/>
              <w:rPr>
                <w:i/>
                <w:iCs/>
                <w:sz w:val="18"/>
                <w:szCs w:val="18"/>
              </w:rPr>
            </w:pPr>
            <w:r>
              <w:rPr>
                <w:i/>
                <w:sz w:val="18"/>
                <w:szCs w:val="18"/>
              </w:rPr>
              <w:t>18</w:t>
            </w:r>
          </w:p>
        </w:tc>
        <w:tc>
          <w:tcPr>
            <w:tcW w:w="702" w:type="dxa"/>
            <w:shd w:val="clear" w:color="auto" w:fill="BDD6EE" w:themeFill="accent1" w:themeFillTint="66"/>
            <w:vAlign w:val="center"/>
          </w:tcPr>
          <w:p w:rsidR="001F68D6" w:rsidRDefault="001F68D6" w:rsidP="001F68D6">
            <w:pPr>
              <w:ind w:left="-57" w:right="-57"/>
              <w:jc w:val="center"/>
              <w:rPr>
                <w:i/>
                <w:sz w:val="18"/>
                <w:szCs w:val="18"/>
              </w:rPr>
            </w:pPr>
            <w:r>
              <w:rPr>
                <w:i/>
                <w:sz w:val="18"/>
                <w:szCs w:val="18"/>
              </w:rPr>
              <w:t>19</w:t>
            </w:r>
          </w:p>
        </w:tc>
        <w:tc>
          <w:tcPr>
            <w:tcW w:w="702" w:type="dxa"/>
            <w:shd w:val="clear" w:color="auto" w:fill="BDD6EE" w:themeFill="accent1" w:themeFillTint="66"/>
            <w:vAlign w:val="center"/>
          </w:tcPr>
          <w:p w:rsidR="001F68D6" w:rsidRDefault="001F68D6" w:rsidP="001F68D6">
            <w:pPr>
              <w:ind w:left="-57" w:right="-57"/>
              <w:jc w:val="center"/>
              <w:rPr>
                <w:i/>
                <w:sz w:val="18"/>
                <w:szCs w:val="18"/>
              </w:rPr>
            </w:pPr>
            <w:r>
              <w:rPr>
                <w:i/>
                <w:sz w:val="18"/>
                <w:szCs w:val="18"/>
              </w:rPr>
              <w:t>20</w:t>
            </w:r>
          </w:p>
        </w:tc>
        <w:tc>
          <w:tcPr>
            <w:tcW w:w="980" w:type="dxa"/>
            <w:shd w:val="clear" w:color="auto" w:fill="BDD6EE" w:themeFill="accent1" w:themeFillTint="66"/>
            <w:vAlign w:val="center"/>
          </w:tcPr>
          <w:p w:rsidR="001F68D6" w:rsidRDefault="001F68D6" w:rsidP="001F68D6">
            <w:pPr>
              <w:ind w:left="-57" w:right="-57"/>
              <w:jc w:val="center"/>
              <w:rPr>
                <w:i/>
                <w:sz w:val="18"/>
                <w:szCs w:val="18"/>
              </w:rPr>
            </w:pPr>
            <w:r>
              <w:rPr>
                <w:i/>
                <w:sz w:val="18"/>
                <w:szCs w:val="18"/>
              </w:rPr>
              <w:t>21</w:t>
            </w:r>
          </w:p>
        </w:tc>
        <w:tc>
          <w:tcPr>
            <w:tcW w:w="715" w:type="dxa"/>
            <w:shd w:val="clear" w:color="auto" w:fill="BDD6EE" w:themeFill="accent1" w:themeFillTint="66"/>
            <w:vAlign w:val="center"/>
          </w:tcPr>
          <w:p w:rsidR="001F68D6" w:rsidRDefault="001F68D6" w:rsidP="001F68D6">
            <w:pPr>
              <w:ind w:left="-57" w:right="-57"/>
              <w:jc w:val="center"/>
              <w:rPr>
                <w:i/>
                <w:sz w:val="18"/>
                <w:szCs w:val="18"/>
              </w:rPr>
            </w:pPr>
            <w:r>
              <w:rPr>
                <w:i/>
                <w:sz w:val="18"/>
                <w:szCs w:val="18"/>
              </w:rPr>
              <w:t>22</w:t>
            </w:r>
          </w:p>
        </w:tc>
        <w:tc>
          <w:tcPr>
            <w:tcW w:w="863" w:type="dxa"/>
            <w:shd w:val="clear" w:color="auto" w:fill="BDD6EE" w:themeFill="accent1" w:themeFillTint="66"/>
            <w:vAlign w:val="center"/>
          </w:tcPr>
          <w:p w:rsidR="001F68D6" w:rsidRDefault="001F68D6" w:rsidP="001F68D6">
            <w:pPr>
              <w:ind w:left="-57" w:right="-57"/>
              <w:jc w:val="center"/>
              <w:rPr>
                <w:i/>
                <w:sz w:val="18"/>
                <w:szCs w:val="18"/>
              </w:rPr>
            </w:pPr>
            <w:r>
              <w:rPr>
                <w:i/>
                <w:sz w:val="18"/>
                <w:szCs w:val="18"/>
              </w:rPr>
              <w:t>23</w:t>
            </w:r>
          </w:p>
        </w:tc>
        <w:tc>
          <w:tcPr>
            <w:tcW w:w="894" w:type="dxa"/>
            <w:shd w:val="clear" w:color="auto" w:fill="BDD6EE" w:themeFill="accent1" w:themeFillTint="66"/>
            <w:vAlign w:val="center"/>
          </w:tcPr>
          <w:p w:rsidR="001F68D6" w:rsidRDefault="001F68D6" w:rsidP="001F68D6">
            <w:pPr>
              <w:ind w:left="-57" w:right="-57"/>
              <w:jc w:val="center"/>
              <w:rPr>
                <w:i/>
                <w:sz w:val="18"/>
                <w:szCs w:val="18"/>
              </w:rPr>
            </w:pPr>
            <w:r>
              <w:rPr>
                <w:i/>
                <w:sz w:val="18"/>
                <w:szCs w:val="18"/>
              </w:rPr>
              <w:t>24</w:t>
            </w:r>
          </w:p>
        </w:tc>
      </w:tr>
      <w:bookmarkEnd w:id="0"/>
      <w:tr w:rsidR="003D7B89" w:rsidTr="00B53C0E">
        <w:trPr>
          <w:trHeight w:val="1045"/>
        </w:trPr>
        <w:tc>
          <w:tcPr>
            <w:tcW w:w="844" w:type="dxa"/>
            <w:vMerge w:val="restart"/>
            <w:shd w:val="clear" w:color="auto" w:fill="auto"/>
          </w:tcPr>
          <w:p w:rsidR="003D7B89" w:rsidRPr="009C532D" w:rsidRDefault="00B15B1A" w:rsidP="003D7B89">
            <w:pPr>
              <w:ind w:left="-57" w:right="-57"/>
              <w:jc w:val="center"/>
              <w:rPr>
                <w:iCs/>
                <w:sz w:val="18"/>
                <w:szCs w:val="18"/>
              </w:rPr>
            </w:pPr>
            <w:r w:rsidRPr="00B15B1A">
              <w:rPr>
                <w:iCs/>
                <w:sz w:val="18"/>
                <w:szCs w:val="18"/>
              </w:rPr>
              <w:t>EIM-V-001</w:t>
            </w:r>
          </w:p>
        </w:tc>
        <w:tc>
          <w:tcPr>
            <w:tcW w:w="852" w:type="dxa"/>
            <w:vMerge w:val="restart"/>
            <w:shd w:val="clear" w:color="auto" w:fill="auto"/>
          </w:tcPr>
          <w:p w:rsidR="003D7B89" w:rsidRPr="00E41AFA" w:rsidRDefault="00142E26" w:rsidP="003D7B89">
            <w:pPr>
              <w:ind w:left="-57" w:right="-57"/>
              <w:jc w:val="center"/>
              <w:rPr>
                <w:iCs/>
                <w:sz w:val="18"/>
                <w:szCs w:val="18"/>
              </w:rPr>
            </w:pPr>
            <w:r w:rsidRPr="00E41AFA">
              <w:rPr>
                <w:iCs/>
                <w:sz w:val="18"/>
                <w:szCs w:val="18"/>
              </w:rPr>
              <w:t>Valstybės informacinių technologijų valdymo pertvarka</w:t>
            </w:r>
          </w:p>
        </w:tc>
        <w:tc>
          <w:tcPr>
            <w:tcW w:w="848" w:type="dxa"/>
            <w:vMerge w:val="restart"/>
            <w:shd w:val="clear" w:color="auto" w:fill="auto"/>
          </w:tcPr>
          <w:p w:rsidR="003D7B89" w:rsidRPr="00C73134" w:rsidRDefault="003D7B89" w:rsidP="003D7B89">
            <w:pPr>
              <w:ind w:left="-57" w:right="-57"/>
              <w:jc w:val="center"/>
              <w:rPr>
                <w:sz w:val="18"/>
                <w:szCs w:val="18"/>
                <w:lang w:eastAsia="lt-LT"/>
              </w:rPr>
            </w:pPr>
            <w:r w:rsidRPr="009D3CED">
              <w:rPr>
                <w:sz w:val="18"/>
                <w:szCs w:val="18"/>
                <w:lang w:eastAsia="lt-LT"/>
              </w:rPr>
              <w:t>05-002-01-07-04</w:t>
            </w:r>
          </w:p>
          <w:p w:rsidR="003D7B89" w:rsidRPr="00C73134" w:rsidRDefault="003D7B89" w:rsidP="003D7B89">
            <w:pPr>
              <w:ind w:left="-57" w:right="-57"/>
              <w:jc w:val="center"/>
              <w:rPr>
                <w:sz w:val="18"/>
                <w:szCs w:val="18"/>
                <w:lang w:eastAsia="lt-LT"/>
              </w:rPr>
            </w:pPr>
          </w:p>
          <w:p w:rsidR="003D7B89" w:rsidRPr="00C73134" w:rsidRDefault="003D7B89" w:rsidP="003D7B89">
            <w:pPr>
              <w:ind w:left="-57" w:right="-57"/>
              <w:jc w:val="center"/>
              <w:rPr>
                <w:sz w:val="18"/>
                <w:szCs w:val="18"/>
                <w:lang w:eastAsia="lt-LT"/>
              </w:rPr>
            </w:pPr>
          </w:p>
          <w:p w:rsidR="003D7B89" w:rsidRPr="00C73134" w:rsidRDefault="003D7B89" w:rsidP="003D7B89">
            <w:pPr>
              <w:ind w:left="-57" w:right="-57"/>
              <w:jc w:val="center"/>
              <w:rPr>
                <w:sz w:val="18"/>
                <w:szCs w:val="18"/>
                <w:lang w:eastAsia="lt-LT"/>
              </w:rPr>
            </w:pPr>
          </w:p>
          <w:p w:rsidR="003D7B89" w:rsidRPr="00C73134" w:rsidRDefault="003D7B89" w:rsidP="003D7B89">
            <w:pPr>
              <w:ind w:left="-57" w:right="-57"/>
              <w:jc w:val="center"/>
              <w:rPr>
                <w:sz w:val="18"/>
                <w:szCs w:val="18"/>
                <w:lang w:eastAsia="lt-LT"/>
              </w:rPr>
            </w:pPr>
          </w:p>
          <w:p w:rsidR="003D7B89" w:rsidRPr="00C73134" w:rsidRDefault="003D7B89" w:rsidP="003D7B89">
            <w:pPr>
              <w:ind w:left="-57" w:right="-57"/>
              <w:jc w:val="center"/>
              <w:rPr>
                <w:sz w:val="18"/>
                <w:szCs w:val="18"/>
                <w:lang w:eastAsia="lt-LT"/>
              </w:rPr>
            </w:pPr>
          </w:p>
          <w:p w:rsidR="003D7B89" w:rsidRPr="00C73134" w:rsidRDefault="003D7B89" w:rsidP="003D7B89">
            <w:pPr>
              <w:ind w:left="-57" w:right="-57"/>
              <w:jc w:val="center"/>
              <w:rPr>
                <w:sz w:val="18"/>
                <w:szCs w:val="18"/>
                <w:lang w:eastAsia="lt-LT"/>
              </w:rPr>
            </w:pPr>
          </w:p>
          <w:p w:rsidR="003D7B89" w:rsidRPr="00C73134" w:rsidRDefault="003D7B89" w:rsidP="003D7B89">
            <w:pPr>
              <w:ind w:left="-57" w:right="-57"/>
              <w:jc w:val="center"/>
              <w:rPr>
                <w:sz w:val="18"/>
                <w:szCs w:val="18"/>
                <w:lang w:eastAsia="lt-LT"/>
              </w:rPr>
            </w:pPr>
          </w:p>
          <w:p w:rsidR="003D7B89" w:rsidRPr="00C73134" w:rsidRDefault="003D7B89" w:rsidP="003D7B89">
            <w:pPr>
              <w:ind w:left="-57" w:right="-57"/>
              <w:jc w:val="center"/>
              <w:rPr>
                <w:sz w:val="18"/>
                <w:szCs w:val="18"/>
                <w:lang w:eastAsia="lt-LT"/>
              </w:rPr>
            </w:pPr>
          </w:p>
          <w:p w:rsidR="003D7B89" w:rsidRPr="00C73134" w:rsidRDefault="003D7B89" w:rsidP="003D7B89">
            <w:pPr>
              <w:ind w:left="-57" w:right="-57"/>
              <w:jc w:val="center"/>
              <w:rPr>
                <w:sz w:val="18"/>
                <w:szCs w:val="18"/>
                <w:lang w:eastAsia="lt-LT"/>
              </w:rPr>
            </w:pPr>
          </w:p>
          <w:p w:rsidR="003D7B89" w:rsidRPr="00C73134" w:rsidRDefault="003D7B89" w:rsidP="003D7B89">
            <w:pPr>
              <w:ind w:left="-57" w:right="-57"/>
              <w:jc w:val="center"/>
              <w:rPr>
                <w:sz w:val="18"/>
                <w:szCs w:val="18"/>
                <w:lang w:eastAsia="lt-LT"/>
              </w:rPr>
            </w:pPr>
          </w:p>
          <w:p w:rsidR="003D7B89" w:rsidRPr="00C73134" w:rsidRDefault="003D7B89" w:rsidP="003D7B89">
            <w:pPr>
              <w:ind w:left="-57" w:right="-57"/>
              <w:jc w:val="center"/>
              <w:rPr>
                <w:sz w:val="18"/>
                <w:szCs w:val="18"/>
                <w:lang w:eastAsia="lt-LT"/>
              </w:rPr>
            </w:pPr>
          </w:p>
          <w:p w:rsidR="003D7B89" w:rsidRPr="00C73134" w:rsidRDefault="003D7B89" w:rsidP="003D7B89">
            <w:pPr>
              <w:ind w:left="-57" w:right="-57"/>
              <w:jc w:val="center"/>
              <w:rPr>
                <w:sz w:val="18"/>
                <w:szCs w:val="18"/>
                <w:lang w:eastAsia="lt-LT"/>
              </w:rPr>
            </w:pPr>
          </w:p>
          <w:p w:rsidR="003D7B89" w:rsidRPr="00C73134" w:rsidRDefault="003D7B89" w:rsidP="003D7B89">
            <w:pPr>
              <w:ind w:left="-57" w:right="-57"/>
              <w:jc w:val="center"/>
              <w:rPr>
                <w:sz w:val="18"/>
                <w:szCs w:val="18"/>
                <w:lang w:eastAsia="lt-LT"/>
              </w:rPr>
            </w:pPr>
          </w:p>
          <w:p w:rsidR="003D7B89" w:rsidRPr="00C73134" w:rsidRDefault="003D7B89" w:rsidP="003D7B89">
            <w:pPr>
              <w:ind w:left="-57" w:right="-57"/>
              <w:jc w:val="center"/>
              <w:rPr>
                <w:sz w:val="18"/>
                <w:szCs w:val="18"/>
                <w:lang w:eastAsia="lt-LT"/>
              </w:rPr>
            </w:pPr>
          </w:p>
          <w:p w:rsidR="003D7B89" w:rsidRPr="00C73134" w:rsidRDefault="003D7B89" w:rsidP="003D7B89">
            <w:pPr>
              <w:ind w:left="-57" w:right="-57"/>
              <w:jc w:val="center"/>
              <w:rPr>
                <w:sz w:val="18"/>
                <w:szCs w:val="18"/>
                <w:lang w:eastAsia="lt-LT"/>
              </w:rPr>
            </w:pPr>
          </w:p>
          <w:p w:rsidR="003D7B89" w:rsidRPr="00E41AFA" w:rsidRDefault="003D7B89" w:rsidP="003D7B89">
            <w:pPr>
              <w:ind w:left="-57" w:right="-57"/>
              <w:jc w:val="center"/>
              <w:rPr>
                <w:sz w:val="18"/>
                <w:szCs w:val="18"/>
                <w:lang w:val="en-US" w:eastAsia="lt-LT"/>
              </w:rPr>
            </w:pPr>
          </w:p>
          <w:p w:rsidR="003D7B89" w:rsidRPr="00C73134" w:rsidRDefault="003D7B89" w:rsidP="003D7B89">
            <w:pPr>
              <w:ind w:left="-57" w:right="-57"/>
              <w:jc w:val="center"/>
              <w:rPr>
                <w:sz w:val="18"/>
                <w:szCs w:val="18"/>
                <w:lang w:eastAsia="lt-LT"/>
              </w:rPr>
            </w:pPr>
          </w:p>
          <w:p w:rsidR="003D7B89" w:rsidRPr="00C73134" w:rsidRDefault="003D7B89" w:rsidP="003D7B89">
            <w:pPr>
              <w:ind w:left="-57" w:right="-57"/>
              <w:jc w:val="center"/>
              <w:rPr>
                <w:sz w:val="18"/>
                <w:szCs w:val="18"/>
                <w:lang w:eastAsia="lt-LT"/>
              </w:rPr>
            </w:pPr>
          </w:p>
          <w:p w:rsidR="003D7B89" w:rsidRPr="00C73134" w:rsidRDefault="003D7B89" w:rsidP="003D7B89">
            <w:pPr>
              <w:ind w:left="-57" w:right="-57"/>
              <w:jc w:val="center"/>
              <w:rPr>
                <w:sz w:val="18"/>
                <w:szCs w:val="18"/>
                <w:lang w:eastAsia="lt-LT"/>
              </w:rPr>
            </w:pPr>
          </w:p>
          <w:p w:rsidR="003D7B89" w:rsidRPr="00C73134" w:rsidRDefault="003D7B89" w:rsidP="003D7B89">
            <w:pPr>
              <w:ind w:left="-57" w:right="-57"/>
              <w:jc w:val="center"/>
              <w:rPr>
                <w:i/>
                <w:iCs/>
                <w:sz w:val="18"/>
                <w:szCs w:val="18"/>
              </w:rPr>
            </w:pPr>
          </w:p>
        </w:tc>
        <w:tc>
          <w:tcPr>
            <w:tcW w:w="969" w:type="dxa"/>
            <w:vMerge w:val="restart"/>
            <w:shd w:val="clear" w:color="auto" w:fill="auto"/>
          </w:tcPr>
          <w:p w:rsidR="003D7B89" w:rsidRPr="006C1599" w:rsidRDefault="003D7B89" w:rsidP="003D7B89">
            <w:pPr>
              <w:ind w:left="-57" w:right="-57"/>
              <w:jc w:val="center"/>
              <w:rPr>
                <w:sz w:val="18"/>
                <w:szCs w:val="18"/>
              </w:rPr>
            </w:pPr>
            <w:r w:rsidRPr="006C1599">
              <w:rPr>
                <w:sz w:val="18"/>
                <w:szCs w:val="18"/>
              </w:rPr>
              <w:t>„Skatinti efektyvų valstybės informacinių išteklių valdymą“</w:t>
            </w:r>
          </w:p>
        </w:tc>
        <w:tc>
          <w:tcPr>
            <w:tcW w:w="1160" w:type="dxa"/>
            <w:vMerge w:val="restart"/>
            <w:shd w:val="clear" w:color="auto" w:fill="auto"/>
          </w:tcPr>
          <w:p w:rsidR="003D7B89" w:rsidRPr="006C1599" w:rsidRDefault="003D7B89" w:rsidP="003D7B89">
            <w:pPr>
              <w:ind w:left="-57" w:right="-57"/>
              <w:jc w:val="center"/>
              <w:rPr>
                <w:iCs/>
                <w:sz w:val="18"/>
                <w:szCs w:val="18"/>
              </w:rPr>
            </w:pPr>
            <w:r w:rsidRPr="006C1599">
              <w:rPr>
                <w:iCs/>
                <w:sz w:val="18"/>
                <w:szCs w:val="18"/>
              </w:rPr>
              <w:t>1. Tikslinių grupių informuotumo didinimas konsoliduotų IT paslaugų klausimais</w:t>
            </w:r>
          </w:p>
          <w:p w:rsidR="003D7B89" w:rsidRPr="006C1599" w:rsidRDefault="003D7B89" w:rsidP="003D7B89">
            <w:pPr>
              <w:ind w:left="-57" w:right="-57"/>
              <w:jc w:val="center"/>
              <w:rPr>
                <w:iCs/>
                <w:sz w:val="18"/>
                <w:szCs w:val="18"/>
              </w:rPr>
            </w:pPr>
            <w:r w:rsidRPr="006C1599">
              <w:rPr>
                <w:iCs/>
                <w:sz w:val="18"/>
                <w:szCs w:val="18"/>
              </w:rPr>
              <w:t>2. Centralizuotas serverių techninės ir sisteminės programinės įrangos atnaujinimas</w:t>
            </w:r>
          </w:p>
          <w:p w:rsidR="003D7B89" w:rsidRPr="006C1599" w:rsidRDefault="003D7B89" w:rsidP="003D7B89">
            <w:pPr>
              <w:ind w:left="-57" w:right="-57"/>
              <w:jc w:val="center"/>
              <w:rPr>
                <w:iCs/>
                <w:sz w:val="18"/>
                <w:szCs w:val="18"/>
              </w:rPr>
            </w:pPr>
            <w:r w:rsidRPr="006C1599">
              <w:rPr>
                <w:iCs/>
                <w:sz w:val="18"/>
                <w:szCs w:val="18"/>
              </w:rPr>
              <w:t>3. Centralizuotas registrų, informacinių sistemų ir duomenų bazių migravimas</w:t>
            </w:r>
          </w:p>
          <w:p w:rsidR="003D7B89" w:rsidRPr="006C1599" w:rsidRDefault="003D7B89" w:rsidP="003D7B89">
            <w:pPr>
              <w:ind w:left="-57" w:right="-57"/>
              <w:jc w:val="center"/>
              <w:rPr>
                <w:iCs/>
                <w:sz w:val="18"/>
                <w:szCs w:val="18"/>
              </w:rPr>
            </w:pPr>
            <w:r w:rsidRPr="006C1599">
              <w:rPr>
                <w:iCs/>
                <w:sz w:val="18"/>
                <w:szCs w:val="18"/>
              </w:rPr>
              <w:t>4. Centralizuotas duomenų perdavimo tinklų standartinės techninės ir programinės įrangos atnaujinimas</w:t>
            </w:r>
          </w:p>
          <w:p w:rsidR="003D7B89" w:rsidRDefault="003D7B89" w:rsidP="003D7B89">
            <w:pPr>
              <w:ind w:left="-57" w:right="-57"/>
              <w:jc w:val="center"/>
              <w:rPr>
                <w:i/>
                <w:sz w:val="18"/>
                <w:szCs w:val="18"/>
              </w:rPr>
            </w:pPr>
            <w:r w:rsidRPr="006C1599">
              <w:rPr>
                <w:iCs/>
                <w:sz w:val="18"/>
                <w:szCs w:val="18"/>
              </w:rPr>
              <w:t>7. Centralizuotas kompiuterizuotų darbo vietų standartinės techninės ir sisteminės programinės įrangos atnaujinimas</w:t>
            </w:r>
          </w:p>
        </w:tc>
        <w:tc>
          <w:tcPr>
            <w:tcW w:w="856" w:type="dxa"/>
            <w:vMerge w:val="restart"/>
            <w:shd w:val="clear" w:color="auto" w:fill="auto"/>
          </w:tcPr>
          <w:p w:rsidR="003D7B89" w:rsidRPr="00B53C0E" w:rsidRDefault="003D7B89" w:rsidP="003D7B89">
            <w:pPr>
              <w:ind w:left="-57" w:right="-57"/>
              <w:jc w:val="center"/>
              <w:rPr>
                <w:iCs/>
                <w:sz w:val="18"/>
                <w:szCs w:val="18"/>
              </w:rPr>
            </w:pPr>
            <w:r w:rsidRPr="00B53C0E">
              <w:rPr>
                <w:iCs/>
                <w:sz w:val="18"/>
                <w:szCs w:val="18"/>
              </w:rPr>
              <w:t>Skaitmeninė transformacija ekonomikos augimui</w:t>
            </w:r>
          </w:p>
        </w:tc>
        <w:tc>
          <w:tcPr>
            <w:tcW w:w="709" w:type="dxa"/>
            <w:vMerge w:val="restart"/>
            <w:shd w:val="clear" w:color="auto" w:fill="auto"/>
          </w:tcPr>
          <w:p w:rsidR="003D7B89" w:rsidRPr="008A1337" w:rsidRDefault="0055710C" w:rsidP="003D7B89">
            <w:pPr>
              <w:ind w:left="-57" w:right="-57"/>
              <w:jc w:val="center"/>
              <w:rPr>
                <w:sz w:val="18"/>
                <w:szCs w:val="18"/>
              </w:rPr>
            </w:pPr>
            <w:r w:rsidRPr="008A1337">
              <w:rPr>
                <w:sz w:val="18"/>
                <w:szCs w:val="18"/>
              </w:rPr>
              <w:t>Ne</w:t>
            </w:r>
          </w:p>
        </w:tc>
        <w:tc>
          <w:tcPr>
            <w:tcW w:w="708" w:type="dxa"/>
            <w:vMerge w:val="restart"/>
            <w:shd w:val="clear" w:color="auto" w:fill="auto"/>
          </w:tcPr>
          <w:p w:rsidR="003D7B89" w:rsidRPr="008A1337" w:rsidRDefault="006367ED" w:rsidP="003D7B89">
            <w:pPr>
              <w:ind w:left="-57" w:right="-57"/>
              <w:jc w:val="center"/>
              <w:rPr>
                <w:sz w:val="18"/>
                <w:szCs w:val="18"/>
              </w:rPr>
            </w:pPr>
            <w:r w:rsidRPr="008A1337">
              <w:rPr>
                <w:sz w:val="18"/>
                <w:szCs w:val="18"/>
              </w:rPr>
              <w:t xml:space="preserve">Taip </w:t>
            </w:r>
          </w:p>
        </w:tc>
        <w:tc>
          <w:tcPr>
            <w:tcW w:w="2268" w:type="dxa"/>
            <w:tcBorders>
              <w:top w:val="single" w:sz="4" w:space="0" w:color="auto"/>
              <w:left w:val="single" w:sz="4" w:space="0" w:color="auto"/>
              <w:bottom w:val="single" w:sz="4" w:space="0" w:color="auto"/>
              <w:right w:val="single" w:sz="4" w:space="0" w:color="auto"/>
            </w:tcBorders>
            <w:vAlign w:val="center"/>
          </w:tcPr>
          <w:p w:rsidR="003D7B89" w:rsidRPr="00960F26" w:rsidRDefault="003D7B89" w:rsidP="003D7B89">
            <w:pPr>
              <w:ind w:left="-57" w:right="-57"/>
              <w:rPr>
                <w:i/>
                <w:iCs/>
                <w:sz w:val="18"/>
                <w:szCs w:val="18"/>
              </w:rPr>
            </w:pPr>
            <w:r w:rsidRPr="00960F26">
              <w:rPr>
                <w:sz w:val="18"/>
                <w:szCs w:val="18"/>
              </w:rPr>
              <w:t xml:space="preserve">Valstybės institucijų, gaunančių konsoliduotų informacinių technologijų paslaugas, dalis </w:t>
            </w:r>
          </w:p>
        </w:tc>
        <w:tc>
          <w:tcPr>
            <w:tcW w:w="850" w:type="dxa"/>
            <w:shd w:val="clear" w:color="auto" w:fill="auto"/>
          </w:tcPr>
          <w:p w:rsidR="003D7B89" w:rsidRPr="00960F26" w:rsidRDefault="00FC1FC6" w:rsidP="003D7B89">
            <w:pPr>
              <w:ind w:left="-57" w:right="-57"/>
              <w:rPr>
                <w:i/>
                <w:iCs/>
                <w:sz w:val="18"/>
                <w:szCs w:val="18"/>
              </w:rPr>
            </w:pPr>
            <w:r w:rsidRPr="00960F26">
              <w:rPr>
                <w:sz w:val="18"/>
                <w:szCs w:val="18"/>
              </w:rPr>
              <w:t>R-05-002-01-07-04-01</w:t>
            </w:r>
          </w:p>
        </w:tc>
        <w:tc>
          <w:tcPr>
            <w:tcW w:w="775" w:type="dxa"/>
            <w:shd w:val="clear" w:color="auto" w:fill="auto"/>
          </w:tcPr>
          <w:p w:rsidR="003D7B89" w:rsidRPr="00CD2C5E" w:rsidRDefault="003D7B89" w:rsidP="003D7B89">
            <w:pPr>
              <w:ind w:left="-57" w:right="-57"/>
              <w:jc w:val="center"/>
              <w:rPr>
                <w:iCs/>
                <w:sz w:val="18"/>
                <w:szCs w:val="18"/>
              </w:rPr>
            </w:pPr>
            <w:r w:rsidRPr="00CD2C5E">
              <w:rPr>
                <w:iCs/>
                <w:sz w:val="18"/>
                <w:szCs w:val="18"/>
              </w:rPr>
              <w:t>Proc.</w:t>
            </w:r>
          </w:p>
        </w:tc>
        <w:tc>
          <w:tcPr>
            <w:tcW w:w="804" w:type="dxa"/>
            <w:shd w:val="clear" w:color="auto" w:fill="auto"/>
          </w:tcPr>
          <w:p w:rsidR="003D7B89" w:rsidRDefault="00440717" w:rsidP="003D7B89">
            <w:pPr>
              <w:ind w:left="-57" w:right="-57"/>
              <w:jc w:val="center"/>
              <w:rPr>
                <w:i/>
                <w:iCs/>
                <w:sz w:val="18"/>
                <w:szCs w:val="18"/>
              </w:rPr>
            </w:pPr>
            <w:r w:rsidRPr="00440717">
              <w:rPr>
                <w:iCs/>
                <w:sz w:val="18"/>
                <w:szCs w:val="18"/>
              </w:rPr>
              <w:t>81</w:t>
            </w:r>
          </w:p>
        </w:tc>
        <w:tc>
          <w:tcPr>
            <w:tcW w:w="987" w:type="dxa"/>
            <w:vMerge w:val="restart"/>
            <w:shd w:val="clear" w:color="auto" w:fill="auto"/>
          </w:tcPr>
          <w:p w:rsidR="003D7B89" w:rsidRPr="00B53C0E" w:rsidRDefault="003D7B89" w:rsidP="003D7B89">
            <w:pPr>
              <w:ind w:left="-57" w:right="-57"/>
              <w:jc w:val="center"/>
              <w:rPr>
                <w:sz w:val="18"/>
                <w:szCs w:val="18"/>
              </w:rPr>
            </w:pPr>
            <w:r w:rsidRPr="00B53C0E">
              <w:rPr>
                <w:sz w:val="18"/>
                <w:szCs w:val="18"/>
              </w:rPr>
              <w:t>Informacinės visuomenės plėtros komitetas</w:t>
            </w:r>
          </w:p>
        </w:tc>
        <w:tc>
          <w:tcPr>
            <w:tcW w:w="780" w:type="dxa"/>
            <w:vMerge w:val="restart"/>
            <w:shd w:val="clear" w:color="auto" w:fill="auto"/>
          </w:tcPr>
          <w:p w:rsidR="003D7B89" w:rsidRPr="00B53C0E" w:rsidRDefault="00056100" w:rsidP="003D7B89">
            <w:pPr>
              <w:ind w:left="-57" w:right="-57"/>
              <w:jc w:val="center"/>
              <w:rPr>
                <w:sz w:val="18"/>
                <w:szCs w:val="18"/>
              </w:rPr>
            </w:pPr>
            <w:r w:rsidRPr="00B53C0E">
              <w:rPr>
                <w:sz w:val="18"/>
                <w:szCs w:val="18"/>
              </w:rPr>
              <w:t>114 937,9</w:t>
            </w:r>
          </w:p>
        </w:tc>
        <w:tc>
          <w:tcPr>
            <w:tcW w:w="845" w:type="dxa"/>
            <w:vMerge w:val="restart"/>
            <w:shd w:val="clear" w:color="auto" w:fill="auto"/>
          </w:tcPr>
          <w:p w:rsidR="003D7B89" w:rsidRPr="00B53C0E" w:rsidRDefault="00056100" w:rsidP="003D7B89">
            <w:pPr>
              <w:ind w:left="-57" w:right="-57"/>
              <w:jc w:val="center"/>
              <w:rPr>
                <w:sz w:val="18"/>
                <w:szCs w:val="18"/>
              </w:rPr>
            </w:pPr>
            <w:r w:rsidRPr="00B53C0E">
              <w:rPr>
                <w:sz w:val="18"/>
                <w:szCs w:val="18"/>
              </w:rPr>
              <w:t>114 937,9</w:t>
            </w:r>
          </w:p>
        </w:tc>
        <w:tc>
          <w:tcPr>
            <w:tcW w:w="883" w:type="dxa"/>
            <w:vMerge w:val="restart"/>
            <w:shd w:val="clear" w:color="auto" w:fill="auto"/>
          </w:tcPr>
          <w:p w:rsidR="003D7B89" w:rsidRPr="00B53C0E" w:rsidRDefault="003D7B89" w:rsidP="003D7B89">
            <w:pPr>
              <w:ind w:left="-57" w:right="-57"/>
              <w:jc w:val="center"/>
              <w:rPr>
                <w:sz w:val="18"/>
                <w:szCs w:val="18"/>
              </w:rPr>
            </w:pPr>
            <w:r w:rsidRPr="00B53C0E">
              <w:rPr>
                <w:sz w:val="18"/>
                <w:szCs w:val="18"/>
              </w:rPr>
              <w:t>-</w:t>
            </w:r>
          </w:p>
        </w:tc>
        <w:tc>
          <w:tcPr>
            <w:tcW w:w="1103" w:type="dxa"/>
            <w:vMerge w:val="restart"/>
            <w:shd w:val="clear" w:color="auto" w:fill="auto"/>
          </w:tcPr>
          <w:p w:rsidR="003D7B89" w:rsidRPr="00B53C0E" w:rsidRDefault="00056100" w:rsidP="003D7B89">
            <w:pPr>
              <w:ind w:left="-57" w:right="-57"/>
              <w:jc w:val="center"/>
              <w:rPr>
                <w:sz w:val="18"/>
                <w:szCs w:val="18"/>
              </w:rPr>
            </w:pPr>
            <w:r w:rsidRPr="00B53C0E">
              <w:rPr>
                <w:sz w:val="18"/>
                <w:szCs w:val="18"/>
              </w:rPr>
              <w:t>94 990</w:t>
            </w:r>
          </w:p>
        </w:tc>
        <w:tc>
          <w:tcPr>
            <w:tcW w:w="851" w:type="dxa"/>
            <w:vMerge w:val="restart"/>
            <w:shd w:val="clear" w:color="auto" w:fill="auto"/>
          </w:tcPr>
          <w:p w:rsidR="003D7B89" w:rsidRPr="00B53C0E" w:rsidRDefault="00056100" w:rsidP="003D7B89">
            <w:pPr>
              <w:ind w:left="-57" w:right="-57"/>
              <w:jc w:val="center"/>
              <w:rPr>
                <w:sz w:val="18"/>
                <w:szCs w:val="18"/>
              </w:rPr>
            </w:pPr>
            <w:r w:rsidRPr="00B53C0E">
              <w:rPr>
                <w:sz w:val="18"/>
                <w:szCs w:val="18"/>
              </w:rPr>
              <w:t>19 947,9</w:t>
            </w:r>
          </w:p>
        </w:tc>
        <w:tc>
          <w:tcPr>
            <w:tcW w:w="702" w:type="dxa"/>
            <w:vMerge w:val="restart"/>
            <w:shd w:val="clear" w:color="auto" w:fill="auto"/>
          </w:tcPr>
          <w:p w:rsidR="003D7B89" w:rsidRPr="00B53C0E" w:rsidRDefault="003D7B89" w:rsidP="003D7B89">
            <w:pPr>
              <w:ind w:left="-57" w:right="-57"/>
              <w:jc w:val="center"/>
              <w:rPr>
                <w:sz w:val="18"/>
                <w:szCs w:val="18"/>
              </w:rPr>
            </w:pPr>
            <w:r w:rsidRPr="00B53C0E">
              <w:rPr>
                <w:sz w:val="18"/>
                <w:szCs w:val="18"/>
              </w:rPr>
              <w:t>-</w:t>
            </w:r>
          </w:p>
        </w:tc>
        <w:tc>
          <w:tcPr>
            <w:tcW w:w="702" w:type="dxa"/>
            <w:vMerge w:val="restart"/>
            <w:shd w:val="clear" w:color="auto" w:fill="auto"/>
          </w:tcPr>
          <w:p w:rsidR="003D7B89" w:rsidRPr="00B53C0E" w:rsidRDefault="003D7B89" w:rsidP="003D7B89">
            <w:pPr>
              <w:ind w:left="-57" w:right="-57"/>
              <w:jc w:val="center"/>
              <w:rPr>
                <w:sz w:val="18"/>
                <w:szCs w:val="18"/>
              </w:rPr>
            </w:pPr>
            <w:r w:rsidRPr="00B53C0E">
              <w:rPr>
                <w:sz w:val="18"/>
                <w:szCs w:val="18"/>
              </w:rPr>
              <w:t>-</w:t>
            </w:r>
          </w:p>
        </w:tc>
        <w:tc>
          <w:tcPr>
            <w:tcW w:w="980" w:type="dxa"/>
            <w:vMerge w:val="restart"/>
            <w:shd w:val="clear" w:color="auto" w:fill="auto"/>
          </w:tcPr>
          <w:p w:rsidR="003D7B89" w:rsidRPr="00B53C0E" w:rsidRDefault="003D7B89" w:rsidP="003D7B89">
            <w:pPr>
              <w:ind w:left="-57" w:right="-57"/>
              <w:jc w:val="center"/>
              <w:rPr>
                <w:sz w:val="18"/>
                <w:szCs w:val="18"/>
              </w:rPr>
            </w:pPr>
            <w:r w:rsidRPr="00B53C0E">
              <w:rPr>
                <w:sz w:val="18"/>
                <w:szCs w:val="18"/>
              </w:rPr>
              <w:t>-</w:t>
            </w:r>
          </w:p>
        </w:tc>
        <w:tc>
          <w:tcPr>
            <w:tcW w:w="715" w:type="dxa"/>
            <w:vMerge w:val="restart"/>
            <w:shd w:val="clear" w:color="auto" w:fill="auto"/>
          </w:tcPr>
          <w:p w:rsidR="003D7B89" w:rsidRPr="00B53C0E" w:rsidRDefault="003D7B89" w:rsidP="003D7B89">
            <w:pPr>
              <w:ind w:left="-57" w:right="-57"/>
              <w:jc w:val="center"/>
              <w:rPr>
                <w:sz w:val="18"/>
                <w:szCs w:val="18"/>
              </w:rPr>
            </w:pPr>
            <w:r w:rsidRPr="00B53C0E">
              <w:rPr>
                <w:sz w:val="18"/>
                <w:szCs w:val="18"/>
              </w:rPr>
              <w:t>-</w:t>
            </w:r>
          </w:p>
        </w:tc>
        <w:tc>
          <w:tcPr>
            <w:tcW w:w="863" w:type="dxa"/>
            <w:vMerge w:val="restart"/>
            <w:shd w:val="clear" w:color="auto" w:fill="auto"/>
          </w:tcPr>
          <w:p w:rsidR="003D7B89" w:rsidRPr="00B53C0E" w:rsidRDefault="003D7B89" w:rsidP="003D7B89">
            <w:pPr>
              <w:ind w:left="-57" w:right="-57"/>
              <w:jc w:val="center"/>
              <w:rPr>
                <w:sz w:val="18"/>
                <w:szCs w:val="18"/>
              </w:rPr>
            </w:pPr>
            <w:r w:rsidRPr="00B53C0E">
              <w:rPr>
                <w:sz w:val="18"/>
                <w:szCs w:val="18"/>
              </w:rPr>
              <w:t>2022-08-03</w:t>
            </w:r>
          </w:p>
        </w:tc>
        <w:tc>
          <w:tcPr>
            <w:tcW w:w="894" w:type="dxa"/>
            <w:vMerge w:val="restart"/>
            <w:shd w:val="clear" w:color="auto" w:fill="auto"/>
          </w:tcPr>
          <w:p w:rsidR="003D7B89" w:rsidRPr="00B53C0E" w:rsidRDefault="003D7B89" w:rsidP="003D7B89">
            <w:pPr>
              <w:ind w:left="-57" w:right="-57"/>
              <w:jc w:val="center"/>
              <w:rPr>
                <w:sz w:val="18"/>
                <w:szCs w:val="18"/>
              </w:rPr>
            </w:pPr>
            <w:r w:rsidRPr="00B53C0E">
              <w:rPr>
                <w:sz w:val="18"/>
                <w:szCs w:val="18"/>
              </w:rPr>
              <w:t>2022-08-22</w:t>
            </w:r>
          </w:p>
        </w:tc>
      </w:tr>
      <w:tr w:rsidR="00440717" w:rsidTr="00B53C0E">
        <w:trPr>
          <w:trHeight w:val="255"/>
        </w:trPr>
        <w:tc>
          <w:tcPr>
            <w:tcW w:w="844" w:type="dxa"/>
            <w:vMerge/>
            <w:shd w:val="clear" w:color="auto" w:fill="auto"/>
          </w:tcPr>
          <w:p w:rsidR="00440717" w:rsidRPr="004D7E93" w:rsidRDefault="00440717" w:rsidP="00440717">
            <w:pPr>
              <w:ind w:left="-57" w:right="-57"/>
              <w:jc w:val="center"/>
              <w:rPr>
                <w:iCs/>
                <w:sz w:val="20"/>
              </w:rPr>
            </w:pPr>
          </w:p>
        </w:tc>
        <w:tc>
          <w:tcPr>
            <w:tcW w:w="852" w:type="dxa"/>
            <w:vMerge/>
            <w:shd w:val="clear" w:color="auto" w:fill="auto"/>
          </w:tcPr>
          <w:p w:rsidR="00440717" w:rsidRPr="001F68D6" w:rsidRDefault="00440717" w:rsidP="00440717">
            <w:pPr>
              <w:ind w:left="-57" w:right="-57"/>
              <w:jc w:val="center"/>
              <w:rPr>
                <w:color w:val="FF0000"/>
                <w:sz w:val="18"/>
                <w:szCs w:val="18"/>
              </w:rPr>
            </w:pPr>
          </w:p>
        </w:tc>
        <w:tc>
          <w:tcPr>
            <w:tcW w:w="848" w:type="dxa"/>
            <w:vMerge/>
            <w:shd w:val="clear" w:color="auto" w:fill="auto"/>
            <w:vAlign w:val="center"/>
          </w:tcPr>
          <w:p w:rsidR="00440717" w:rsidRPr="001F68D6" w:rsidRDefault="00440717" w:rsidP="00440717">
            <w:pPr>
              <w:ind w:left="-57" w:right="-57"/>
              <w:rPr>
                <w:sz w:val="18"/>
                <w:szCs w:val="18"/>
                <w:lang w:eastAsia="lt-LT"/>
              </w:rPr>
            </w:pPr>
          </w:p>
        </w:tc>
        <w:tc>
          <w:tcPr>
            <w:tcW w:w="969" w:type="dxa"/>
            <w:vMerge/>
            <w:shd w:val="clear" w:color="auto" w:fill="auto"/>
          </w:tcPr>
          <w:p w:rsidR="00440717" w:rsidRPr="001F68D6" w:rsidRDefault="00440717" w:rsidP="00440717">
            <w:pPr>
              <w:ind w:left="-57" w:right="-57"/>
              <w:jc w:val="center"/>
              <w:rPr>
                <w:sz w:val="18"/>
                <w:szCs w:val="18"/>
              </w:rPr>
            </w:pPr>
          </w:p>
        </w:tc>
        <w:tc>
          <w:tcPr>
            <w:tcW w:w="1160" w:type="dxa"/>
            <w:vMerge/>
            <w:shd w:val="clear" w:color="auto" w:fill="auto"/>
          </w:tcPr>
          <w:p w:rsidR="00440717" w:rsidRPr="001F68D6" w:rsidRDefault="00440717" w:rsidP="00440717">
            <w:pPr>
              <w:ind w:left="-57" w:right="-57"/>
              <w:jc w:val="center"/>
              <w:rPr>
                <w:sz w:val="18"/>
                <w:szCs w:val="18"/>
              </w:rPr>
            </w:pPr>
          </w:p>
        </w:tc>
        <w:tc>
          <w:tcPr>
            <w:tcW w:w="856" w:type="dxa"/>
            <w:vMerge/>
            <w:shd w:val="clear" w:color="auto" w:fill="auto"/>
          </w:tcPr>
          <w:p w:rsidR="00440717" w:rsidRPr="001F68D6" w:rsidRDefault="00440717" w:rsidP="00440717">
            <w:pPr>
              <w:ind w:left="-57" w:right="-57"/>
              <w:jc w:val="center"/>
              <w:rPr>
                <w:sz w:val="18"/>
                <w:szCs w:val="18"/>
              </w:rPr>
            </w:pPr>
          </w:p>
        </w:tc>
        <w:tc>
          <w:tcPr>
            <w:tcW w:w="709" w:type="dxa"/>
            <w:vMerge/>
            <w:shd w:val="clear" w:color="auto" w:fill="auto"/>
          </w:tcPr>
          <w:p w:rsidR="00440717" w:rsidRPr="001F68D6" w:rsidRDefault="00440717" w:rsidP="00440717">
            <w:pPr>
              <w:ind w:left="-57" w:right="-57"/>
              <w:jc w:val="center"/>
              <w:rPr>
                <w:iCs/>
                <w:sz w:val="18"/>
                <w:szCs w:val="18"/>
              </w:rPr>
            </w:pPr>
          </w:p>
        </w:tc>
        <w:tc>
          <w:tcPr>
            <w:tcW w:w="708" w:type="dxa"/>
            <w:vMerge/>
            <w:shd w:val="clear" w:color="auto" w:fill="auto"/>
          </w:tcPr>
          <w:p w:rsidR="00440717" w:rsidRPr="001F68D6" w:rsidRDefault="00440717" w:rsidP="00440717">
            <w:pPr>
              <w:ind w:left="-57" w:right="-57"/>
              <w:jc w:val="center"/>
              <w:rPr>
                <w:iCs/>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17" w:rsidRPr="00960F26" w:rsidRDefault="00440717" w:rsidP="00440717">
            <w:pPr>
              <w:ind w:left="-57" w:right="-57"/>
              <w:rPr>
                <w:i/>
                <w:iCs/>
                <w:sz w:val="18"/>
                <w:szCs w:val="18"/>
              </w:rPr>
            </w:pPr>
            <w:r w:rsidRPr="00960F26">
              <w:rPr>
                <w:sz w:val="18"/>
                <w:szCs w:val="18"/>
              </w:rPr>
              <w:t>Valstybės biudžetinių įstaigų, kurių valdomos sistemos migravusios į naują viešojo sektoriaus debesijos infrastruktūrą, skaičius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17" w:rsidRPr="00960F26" w:rsidRDefault="00440717" w:rsidP="00440717">
            <w:pPr>
              <w:ind w:left="-57" w:right="-57"/>
              <w:rPr>
                <w:i/>
                <w:iCs/>
                <w:sz w:val="18"/>
                <w:szCs w:val="18"/>
              </w:rPr>
            </w:pPr>
            <w:r w:rsidRPr="00960F26">
              <w:rPr>
                <w:sz w:val="18"/>
                <w:szCs w:val="18"/>
              </w:rPr>
              <w:t>P-05-002-01-07-04-0</w:t>
            </w:r>
            <w:r w:rsidRPr="00960F26">
              <w:rPr>
                <w:sz w:val="18"/>
                <w:szCs w:val="18"/>
                <w:lang w:val="en-GB"/>
              </w:rPr>
              <w:t>2</w:t>
            </w:r>
          </w:p>
        </w:tc>
        <w:tc>
          <w:tcPr>
            <w:tcW w:w="775" w:type="dxa"/>
            <w:shd w:val="clear" w:color="auto" w:fill="auto"/>
          </w:tcPr>
          <w:p w:rsidR="00440717" w:rsidRPr="00CD2C5E" w:rsidRDefault="00440717" w:rsidP="00440717">
            <w:pPr>
              <w:ind w:left="-57" w:right="-57"/>
              <w:jc w:val="center"/>
              <w:rPr>
                <w:iCs/>
                <w:sz w:val="18"/>
                <w:szCs w:val="18"/>
              </w:rPr>
            </w:pPr>
            <w:r w:rsidRPr="00CD2C5E">
              <w:rPr>
                <w:iCs/>
                <w:sz w:val="18"/>
                <w:szCs w:val="18"/>
              </w:rPr>
              <w:t>Vnt.</w:t>
            </w:r>
          </w:p>
        </w:tc>
        <w:tc>
          <w:tcPr>
            <w:tcW w:w="804" w:type="dxa"/>
            <w:shd w:val="clear" w:color="auto" w:fill="auto"/>
          </w:tcPr>
          <w:p w:rsidR="00440717" w:rsidRPr="00CD2C5E" w:rsidRDefault="00056100" w:rsidP="00440717">
            <w:pPr>
              <w:ind w:left="-57" w:right="-57"/>
              <w:jc w:val="center"/>
              <w:rPr>
                <w:iCs/>
                <w:sz w:val="18"/>
                <w:szCs w:val="18"/>
              </w:rPr>
            </w:pPr>
            <w:r w:rsidRPr="00056100">
              <w:rPr>
                <w:iCs/>
                <w:sz w:val="18"/>
                <w:szCs w:val="18"/>
              </w:rPr>
              <w:t>325</w:t>
            </w:r>
          </w:p>
        </w:tc>
        <w:tc>
          <w:tcPr>
            <w:tcW w:w="987" w:type="dxa"/>
            <w:vMerge/>
            <w:shd w:val="clear" w:color="auto" w:fill="auto"/>
          </w:tcPr>
          <w:p w:rsidR="00440717" w:rsidRPr="001F68D6" w:rsidRDefault="00440717" w:rsidP="00440717">
            <w:pPr>
              <w:ind w:left="-57" w:right="-57"/>
              <w:jc w:val="center"/>
              <w:rPr>
                <w:sz w:val="18"/>
                <w:szCs w:val="18"/>
              </w:rPr>
            </w:pPr>
          </w:p>
        </w:tc>
        <w:tc>
          <w:tcPr>
            <w:tcW w:w="780" w:type="dxa"/>
            <w:vMerge/>
            <w:shd w:val="clear" w:color="auto" w:fill="auto"/>
          </w:tcPr>
          <w:p w:rsidR="00440717" w:rsidRPr="001F68D6" w:rsidRDefault="00440717" w:rsidP="00440717">
            <w:pPr>
              <w:ind w:left="-57" w:right="-57"/>
              <w:jc w:val="center"/>
              <w:rPr>
                <w:iCs/>
                <w:sz w:val="18"/>
                <w:szCs w:val="18"/>
              </w:rPr>
            </w:pPr>
          </w:p>
        </w:tc>
        <w:tc>
          <w:tcPr>
            <w:tcW w:w="845" w:type="dxa"/>
            <w:vMerge/>
            <w:shd w:val="clear" w:color="auto" w:fill="auto"/>
          </w:tcPr>
          <w:p w:rsidR="00440717" w:rsidRPr="001F68D6" w:rsidRDefault="00440717" w:rsidP="00440717">
            <w:pPr>
              <w:ind w:left="-57" w:right="-57"/>
              <w:jc w:val="center"/>
              <w:rPr>
                <w:iCs/>
                <w:sz w:val="18"/>
                <w:szCs w:val="18"/>
              </w:rPr>
            </w:pPr>
          </w:p>
        </w:tc>
        <w:tc>
          <w:tcPr>
            <w:tcW w:w="883" w:type="dxa"/>
            <w:vMerge/>
            <w:shd w:val="clear" w:color="auto" w:fill="auto"/>
          </w:tcPr>
          <w:p w:rsidR="00440717" w:rsidRPr="001F68D6" w:rsidRDefault="00440717" w:rsidP="00440717">
            <w:pPr>
              <w:ind w:left="-57" w:right="-57"/>
              <w:jc w:val="center"/>
              <w:rPr>
                <w:iCs/>
                <w:sz w:val="18"/>
                <w:szCs w:val="18"/>
              </w:rPr>
            </w:pPr>
          </w:p>
        </w:tc>
        <w:tc>
          <w:tcPr>
            <w:tcW w:w="1103" w:type="dxa"/>
            <w:vMerge/>
            <w:shd w:val="clear" w:color="auto" w:fill="auto"/>
          </w:tcPr>
          <w:p w:rsidR="00440717" w:rsidRPr="001F68D6" w:rsidRDefault="00440717" w:rsidP="00440717">
            <w:pPr>
              <w:ind w:left="-57" w:right="-57"/>
              <w:jc w:val="center"/>
              <w:rPr>
                <w:iCs/>
                <w:sz w:val="18"/>
                <w:szCs w:val="18"/>
              </w:rPr>
            </w:pPr>
          </w:p>
        </w:tc>
        <w:tc>
          <w:tcPr>
            <w:tcW w:w="851" w:type="dxa"/>
            <w:vMerge/>
            <w:shd w:val="clear" w:color="auto" w:fill="auto"/>
          </w:tcPr>
          <w:p w:rsidR="00440717" w:rsidRPr="001F68D6" w:rsidRDefault="00440717" w:rsidP="00440717">
            <w:pPr>
              <w:ind w:left="-57" w:right="-57"/>
              <w:jc w:val="center"/>
              <w:rPr>
                <w:iCs/>
                <w:sz w:val="18"/>
                <w:szCs w:val="18"/>
              </w:rPr>
            </w:pPr>
          </w:p>
        </w:tc>
        <w:tc>
          <w:tcPr>
            <w:tcW w:w="702" w:type="dxa"/>
            <w:vMerge/>
            <w:shd w:val="clear" w:color="auto" w:fill="auto"/>
          </w:tcPr>
          <w:p w:rsidR="00440717" w:rsidRPr="001F68D6" w:rsidRDefault="00440717" w:rsidP="00440717">
            <w:pPr>
              <w:ind w:left="-57" w:right="-57"/>
              <w:jc w:val="center"/>
              <w:rPr>
                <w:iCs/>
                <w:sz w:val="18"/>
                <w:szCs w:val="18"/>
              </w:rPr>
            </w:pPr>
          </w:p>
        </w:tc>
        <w:tc>
          <w:tcPr>
            <w:tcW w:w="702" w:type="dxa"/>
            <w:vMerge/>
            <w:shd w:val="clear" w:color="auto" w:fill="auto"/>
          </w:tcPr>
          <w:p w:rsidR="00440717" w:rsidRPr="001F68D6" w:rsidRDefault="00440717" w:rsidP="00440717">
            <w:pPr>
              <w:ind w:left="-57" w:right="-57"/>
              <w:jc w:val="center"/>
              <w:rPr>
                <w:iCs/>
                <w:sz w:val="18"/>
                <w:szCs w:val="18"/>
              </w:rPr>
            </w:pPr>
          </w:p>
        </w:tc>
        <w:tc>
          <w:tcPr>
            <w:tcW w:w="980" w:type="dxa"/>
            <w:vMerge/>
            <w:shd w:val="clear" w:color="auto" w:fill="auto"/>
          </w:tcPr>
          <w:p w:rsidR="00440717" w:rsidRPr="001F68D6" w:rsidRDefault="00440717" w:rsidP="00440717">
            <w:pPr>
              <w:ind w:left="-57" w:right="-57"/>
              <w:jc w:val="center"/>
              <w:rPr>
                <w:iCs/>
                <w:sz w:val="18"/>
                <w:szCs w:val="18"/>
              </w:rPr>
            </w:pPr>
          </w:p>
        </w:tc>
        <w:tc>
          <w:tcPr>
            <w:tcW w:w="715" w:type="dxa"/>
            <w:vMerge/>
            <w:shd w:val="clear" w:color="auto" w:fill="auto"/>
          </w:tcPr>
          <w:p w:rsidR="00440717" w:rsidRPr="001F68D6" w:rsidRDefault="00440717" w:rsidP="00440717">
            <w:pPr>
              <w:ind w:left="-57" w:right="-57"/>
              <w:jc w:val="center"/>
              <w:rPr>
                <w:iCs/>
                <w:sz w:val="18"/>
                <w:szCs w:val="18"/>
              </w:rPr>
            </w:pPr>
          </w:p>
        </w:tc>
        <w:tc>
          <w:tcPr>
            <w:tcW w:w="863" w:type="dxa"/>
            <w:vMerge/>
            <w:shd w:val="clear" w:color="auto" w:fill="auto"/>
          </w:tcPr>
          <w:p w:rsidR="00440717" w:rsidRPr="001F68D6" w:rsidRDefault="00440717" w:rsidP="00440717">
            <w:pPr>
              <w:ind w:left="-57" w:right="-57"/>
              <w:jc w:val="center"/>
              <w:rPr>
                <w:iCs/>
                <w:sz w:val="18"/>
                <w:szCs w:val="18"/>
              </w:rPr>
            </w:pPr>
          </w:p>
        </w:tc>
        <w:tc>
          <w:tcPr>
            <w:tcW w:w="894" w:type="dxa"/>
            <w:vMerge/>
            <w:shd w:val="clear" w:color="auto" w:fill="auto"/>
          </w:tcPr>
          <w:p w:rsidR="00440717" w:rsidRPr="001F68D6" w:rsidRDefault="00440717" w:rsidP="00440717">
            <w:pPr>
              <w:ind w:left="-57" w:right="-57"/>
              <w:jc w:val="center"/>
              <w:rPr>
                <w:iCs/>
                <w:sz w:val="18"/>
                <w:szCs w:val="18"/>
              </w:rPr>
            </w:pPr>
          </w:p>
        </w:tc>
      </w:tr>
      <w:tr w:rsidR="00440717" w:rsidTr="00B53C0E">
        <w:trPr>
          <w:trHeight w:val="255"/>
        </w:trPr>
        <w:tc>
          <w:tcPr>
            <w:tcW w:w="844" w:type="dxa"/>
            <w:vMerge/>
            <w:shd w:val="clear" w:color="auto" w:fill="auto"/>
          </w:tcPr>
          <w:p w:rsidR="00440717" w:rsidRPr="004D7E93" w:rsidRDefault="00440717" w:rsidP="00440717">
            <w:pPr>
              <w:ind w:left="-57" w:right="-57"/>
              <w:jc w:val="center"/>
              <w:rPr>
                <w:iCs/>
                <w:sz w:val="20"/>
              </w:rPr>
            </w:pPr>
          </w:p>
        </w:tc>
        <w:tc>
          <w:tcPr>
            <w:tcW w:w="852" w:type="dxa"/>
            <w:vMerge/>
            <w:shd w:val="clear" w:color="auto" w:fill="auto"/>
          </w:tcPr>
          <w:p w:rsidR="00440717" w:rsidRPr="001F68D6" w:rsidRDefault="00440717" w:rsidP="00440717">
            <w:pPr>
              <w:ind w:left="-57" w:right="-57"/>
              <w:jc w:val="center"/>
              <w:rPr>
                <w:color w:val="FF0000"/>
                <w:sz w:val="18"/>
                <w:szCs w:val="18"/>
              </w:rPr>
            </w:pPr>
          </w:p>
        </w:tc>
        <w:tc>
          <w:tcPr>
            <w:tcW w:w="848" w:type="dxa"/>
            <w:vMerge/>
            <w:shd w:val="clear" w:color="auto" w:fill="auto"/>
            <w:vAlign w:val="center"/>
          </w:tcPr>
          <w:p w:rsidR="00440717" w:rsidRPr="001F68D6" w:rsidRDefault="00440717" w:rsidP="00440717">
            <w:pPr>
              <w:ind w:left="-57" w:right="-57"/>
              <w:rPr>
                <w:sz w:val="18"/>
                <w:szCs w:val="18"/>
                <w:lang w:eastAsia="lt-LT"/>
              </w:rPr>
            </w:pPr>
          </w:p>
        </w:tc>
        <w:tc>
          <w:tcPr>
            <w:tcW w:w="969" w:type="dxa"/>
            <w:vMerge/>
            <w:shd w:val="clear" w:color="auto" w:fill="auto"/>
          </w:tcPr>
          <w:p w:rsidR="00440717" w:rsidRPr="001F68D6" w:rsidRDefault="00440717" w:rsidP="00440717">
            <w:pPr>
              <w:ind w:left="-57" w:right="-57"/>
              <w:jc w:val="center"/>
              <w:rPr>
                <w:sz w:val="18"/>
                <w:szCs w:val="18"/>
              </w:rPr>
            </w:pPr>
          </w:p>
        </w:tc>
        <w:tc>
          <w:tcPr>
            <w:tcW w:w="1160" w:type="dxa"/>
            <w:vMerge/>
            <w:shd w:val="clear" w:color="auto" w:fill="auto"/>
          </w:tcPr>
          <w:p w:rsidR="00440717" w:rsidRPr="001F68D6" w:rsidRDefault="00440717" w:rsidP="00440717">
            <w:pPr>
              <w:ind w:left="-57" w:right="-57"/>
              <w:jc w:val="center"/>
              <w:rPr>
                <w:sz w:val="18"/>
                <w:szCs w:val="18"/>
              </w:rPr>
            </w:pPr>
          </w:p>
        </w:tc>
        <w:tc>
          <w:tcPr>
            <w:tcW w:w="856" w:type="dxa"/>
            <w:vMerge/>
            <w:shd w:val="clear" w:color="auto" w:fill="auto"/>
          </w:tcPr>
          <w:p w:rsidR="00440717" w:rsidRPr="001F68D6" w:rsidRDefault="00440717" w:rsidP="00440717">
            <w:pPr>
              <w:ind w:left="-57" w:right="-57"/>
              <w:jc w:val="center"/>
              <w:rPr>
                <w:sz w:val="18"/>
                <w:szCs w:val="18"/>
              </w:rPr>
            </w:pPr>
          </w:p>
        </w:tc>
        <w:tc>
          <w:tcPr>
            <w:tcW w:w="709" w:type="dxa"/>
            <w:vMerge/>
            <w:shd w:val="clear" w:color="auto" w:fill="auto"/>
          </w:tcPr>
          <w:p w:rsidR="00440717" w:rsidRPr="001F68D6" w:rsidRDefault="00440717" w:rsidP="00440717">
            <w:pPr>
              <w:ind w:left="-57" w:right="-57"/>
              <w:jc w:val="center"/>
              <w:rPr>
                <w:iCs/>
                <w:sz w:val="18"/>
                <w:szCs w:val="18"/>
              </w:rPr>
            </w:pPr>
          </w:p>
        </w:tc>
        <w:tc>
          <w:tcPr>
            <w:tcW w:w="708" w:type="dxa"/>
            <w:vMerge/>
            <w:shd w:val="clear" w:color="auto" w:fill="auto"/>
          </w:tcPr>
          <w:p w:rsidR="00440717" w:rsidRPr="001F68D6" w:rsidRDefault="00440717" w:rsidP="00440717">
            <w:pPr>
              <w:ind w:left="-57" w:right="-57"/>
              <w:jc w:val="center"/>
              <w:rPr>
                <w:iCs/>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17" w:rsidRPr="00960F26" w:rsidRDefault="00440717" w:rsidP="00440717">
            <w:pPr>
              <w:ind w:left="-57" w:right="-57"/>
              <w:rPr>
                <w:i/>
                <w:iCs/>
                <w:sz w:val="18"/>
                <w:szCs w:val="18"/>
              </w:rPr>
            </w:pPr>
            <w:r w:rsidRPr="00960F26">
              <w:rPr>
                <w:sz w:val="18"/>
                <w:szCs w:val="18"/>
              </w:rPr>
              <w:t>Biudžetinių įstaigų, kurioms Valstybės informacinių technologijų paslaugų departamentas konsoliduotai teikia IT paslaugas, skaičius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0717" w:rsidRPr="00960F26" w:rsidRDefault="00440717" w:rsidP="00440717">
            <w:pPr>
              <w:ind w:left="-57" w:right="-57"/>
              <w:rPr>
                <w:i/>
                <w:iCs/>
                <w:sz w:val="18"/>
                <w:szCs w:val="18"/>
              </w:rPr>
            </w:pPr>
            <w:r w:rsidRPr="00960F26">
              <w:rPr>
                <w:iCs/>
                <w:sz w:val="18"/>
                <w:szCs w:val="18"/>
              </w:rPr>
              <w:t>P-05-002-01-07-04-03</w:t>
            </w:r>
          </w:p>
        </w:tc>
        <w:tc>
          <w:tcPr>
            <w:tcW w:w="775" w:type="dxa"/>
            <w:shd w:val="clear" w:color="auto" w:fill="auto"/>
          </w:tcPr>
          <w:p w:rsidR="00440717" w:rsidRPr="00CD2C5E" w:rsidRDefault="00440717" w:rsidP="00440717">
            <w:pPr>
              <w:ind w:left="-57" w:right="-57"/>
              <w:jc w:val="center"/>
              <w:rPr>
                <w:iCs/>
                <w:sz w:val="18"/>
                <w:szCs w:val="18"/>
              </w:rPr>
            </w:pPr>
            <w:r w:rsidRPr="00CD2C5E">
              <w:rPr>
                <w:iCs/>
                <w:sz w:val="18"/>
                <w:szCs w:val="18"/>
              </w:rPr>
              <w:t>Vnt.</w:t>
            </w:r>
          </w:p>
        </w:tc>
        <w:tc>
          <w:tcPr>
            <w:tcW w:w="804" w:type="dxa"/>
            <w:shd w:val="clear" w:color="auto" w:fill="auto"/>
          </w:tcPr>
          <w:p w:rsidR="00440717" w:rsidRPr="00CD2C5E" w:rsidRDefault="00056100" w:rsidP="00440717">
            <w:pPr>
              <w:ind w:left="-57" w:right="-57"/>
              <w:jc w:val="center"/>
              <w:rPr>
                <w:iCs/>
                <w:sz w:val="18"/>
                <w:szCs w:val="18"/>
              </w:rPr>
            </w:pPr>
            <w:r w:rsidRPr="00056100">
              <w:rPr>
                <w:iCs/>
                <w:sz w:val="18"/>
                <w:szCs w:val="18"/>
              </w:rPr>
              <w:t>325</w:t>
            </w:r>
          </w:p>
        </w:tc>
        <w:tc>
          <w:tcPr>
            <w:tcW w:w="987" w:type="dxa"/>
            <w:vMerge/>
            <w:shd w:val="clear" w:color="auto" w:fill="auto"/>
          </w:tcPr>
          <w:p w:rsidR="00440717" w:rsidRPr="001F68D6" w:rsidRDefault="00440717" w:rsidP="00440717">
            <w:pPr>
              <w:ind w:left="-57" w:right="-57"/>
              <w:jc w:val="center"/>
              <w:rPr>
                <w:sz w:val="18"/>
                <w:szCs w:val="18"/>
              </w:rPr>
            </w:pPr>
          </w:p>
        </w:tc>
        <w:tc>
          <w:tcPr>
            <w:tcW w:w="780" w:type="dxa"/>
            <w:vMerge/>
            <w:shd w:val="clear" w:color="auto" w:fill="auto"/>
          </w:tcPr>
          <w:p w:rsidR="00440717" w:rsidRPr="001F68D6" w:rsidRDefault="00440717" w:rsidP="00440717">
            <w:pPr>
              <w:ind w:left="-57" w:right="-57"/>
              <w:jc w:val="center"/>
              <w:rPr>
                <w:iCs/>
                <w:sz w:val="18"/>
                <w:szCs w:val="18"/>
              </w:rPr>
            </w:pPr>
          </w:p>
        </w:tc>
        <w:tc>
          <w:tcPr>
            <w:tcW w:w="845" w:type="dxa"/>
            <w:vMerge/>
            <w:shd w:val="clear" w:color="auto" w:fill="auto"/>
          </w:tcPr>
          <w:p w:rsidR="00440717" w:rsidRPr="001F68D6" w:rsidRDefault="00440717" w:rsidP="00440717">
            <w:pPr>
              <w:ind w:left="-57" w:right="-57"/>
              <w:jc w:val="center"/>
              <w:rPr>
                <w:iCs/>
                <w:sz w:val="18"/>
                <w:szCs w:val="18"/>
              </w:rPr>
            </w:pPr>
          </w:p>
        </w:tc>
        <w:tc>
          <w:tcPr>
            <w:tcW w:w="883" w:type="dxa"/>
            <w:vMerge/>
            <w:shd w:val="clear" w:color="auto" w:fill="auto"/>
          </w:tcPr>
          <w:p w:rsidR="00440717" w:rsidRPr="001F68D6" w:rsidRDefault="00440717" w:rsidP="00440717">
            <w:pPr>
              <w:ind w:left="-57" w:right="-57"/>
              <w:jc w:val="center"/>
              <w:rPr>
                <w:iCs/>
                <w:sz w:val="18"/>
                <w:szCs w:val="18"/>
              </w:rPr>
            </w:pPr>
          </w:p>
        </w:tc>
        <w:tc>
          <w:tcPr>
            <w:tcW w:w="1103" w:type="dxa"/>
            <w:vMerge/>
            <w:shd w:val="clear" w:color="auto" w:fill="auto"/>
          </w:tcPr>
          <w:p w:rsidR="00440717" w:rsidRPr="001F68D6" w:rsidRDefault="00440717" w:rsidP="00440717">
            <w:pPr>
              <w:ind w:left="-57" w:right="-57"/>
              <w:jc w:val="center"/>
              <w:rPr>
                <w:iCs/>
                <w:sz w:val="18"/>
                <w:szCs w:val="18"/>
              </w:rPr>
            </w:pPr>
          </w:p>
        </w:tc>
        <w:tc>
          <w:tcPr>
            <w:tcW w:w="851" w:type="dxa"/>
            <w:vMerge/>
            <w:shd w:val="clear" w:color="auto" w:fill="auto"/>
          </w:tcPr>
          <w:p w:rsidR="00440717" w:rsidRPr="001F68D6" w:rsidRDefault="00440717" w:rsidP="00440717">
            <w:pPr>
              <w:ind w:left="-57" w:right="-57"/>
              <w:jc w:val="center"/>
              <w:rPr>
                <w:iCs/>
                <w:sz w:val="18"/>
                <w:szCs w:val="18"/>
              </w:rPr>
            </w:pPr>
          </w:p>
        </w:tc>
        <w:tc>
          <w:tcPr>
            <w:tcW w:w="702" w:type="dxa"/>
            <w:vMerge/>
            <w:shd w:val="clear" w:color="auto" w:fill="auto"/>
          </w:tcPr>
          <w:p w:rsidR="00440717" w:rsidRPr="001F68D6" w:rsidRDefault="00440717" w:rsidP="00440717">
            <w:pPr>
              <w:ind w:left="-57" w:right="-57"/>
              <w:jc w:val="center"/>
              <w:rPr>
                <w:iCs/>
                <w:sz w:val="18"/>
                <w:szCs w:val="18"/>
              </w:rPr>
            </w:pPr>
          </w:p>
        </w:tc>
        <w:tc>
          <w:tcPr>
            <w:tcW w:w="702" w:type="dxa"/>
            <w:vMerge/>
            <w:shd w:val="clear" w:color="auto" w:fill="auto"/>
          </w:tcPr>
          <w:p w:rsidR="00440717" w:rsidRPr="001F68D6" w:rsidRDefault="00440717" w:rsidP="00440717">
            <w:pPr>
              <w:ind w:left="-57" w:right="-57"/>
              <w:jc w:val="center"/>
              <w:rPr>
                <w:iCs/>
                <w:sz w:val="18"/>
                <w:szCs w:val="18"/>
              </w:rPr>
            </w:pPr>
          </w:p>
        </w:tc>
        <w:tc>
          <w:tcPr>
            <w:tcW w:w="980" w:type="dxa"/>
            <w:vMerge/>
            <w:shd w:val="clear" w:color="auto" w:fill="auto"/>
          </w:tcPr>
          <w:p w:rsidR="00440717" w:rsidRPr="001F68D6" w:rsidRDefault="00440717" w:rsidP="00440717">
            <w:pPr>
              <w:ind w:left="-57" w:right="-57"/>
              <w:jc w:val="center"/>
              <w:rPr>
                <w:iCs/>
                <w:sz w:val="18"/>
                <w:szCs w:val="18"/>
              </w:rPr>
            </w:pPr>
          </w:p>
        </w:tc>
        <w:tc>
          <w:tcPr>
            <w:tcW w:w="715" w:type="dxa"/>
            <w:vMerge/>
            <w:shd w:val="clear" w:color="auto" w:fill="auto"/>
          </w:tcPr>
          <w:p w:rsidR="00440717" w:rsidRPr="001F68D6" w:rsidRDefault="00440717" w:rsidP="00440717">
            <w:pPr>
              <w:ind w:left="-57" w:right="-57"/>
              <w:jc w:val="center"/>
              <w:rPr>
                <w:iCs/>
                <w:sz w:val="18"/>
                <w:szCs w:val="18"/>
              </w:rPr>
            </w:pPr>
          </w:p>
        </w:tc>
        <w:tc>
          <w:tcPr>
            <w:tcW w:w="863" w:type="dxa"/>
            <w:vMerge/>
            <w:shd w:val="clear" w:color="auto" w:fill="auto"/>
          </w:tcPr>
          <w:p w:rsidR="00440717" w:rsidRPr="001F68D6" w:rsidRDefault="00440717" w:rsidP="00440717">
            <w:pPr>
              <w:ind w:left="-57" w:right="-57"/>
              <w:jc w:val="center"/>
              <w:rPr>
                <w:iCs/>
                <w:sz w:val="18"/>
                <w:szCs w:val="18"/>
              </w:rPr>
            </w:pPr>
          </w:p>
        </w:tc>
        <w:tc>
          <w:tcPr>
            <w:tcW w:w="894" w:type="dxa"/>
            <w:vMerge/>
            <w:shd w:val="clear" w:color="auto" w:fill="auto"/>
          </w:tcPr>
          <w:p w:rsidR="00440717" w:rsidRPr="001F68D6" w:rsidRDefault="00440717" w:rsidP="00440717">
            <w:pPr>
              <w:ind w:left="-57" w:right="-57"/>
              <w:jc w:val="center"/>
              <w:rPr>
                <w:iCs/>
                <w:sz w:val="18"/>
                <w:szCs w:val="18"/>
              </w:rPr>
            </w:pPr>
          </w:p>
        </w:tc>
      </w:tr>
      <w:tr w:rsidR="003C376F" w:rsidTr="00B53C0E">
        <w:trPr>
          <w:trHeight w:val="878"/>
        </w:trPr>
        <w:tc>
          <w:tcPr>
            <w:tcW w:w="844" w:type="dxa"/>
            <w:vMerge/>
            <w:shd w:val="clear" w:color="auto" w:fill="auto"/>
          </w:tcPr>
          <w:p w:rsidR="003C376F" w:rsidRPr="004D7E93" w:rsidRDefault="003C376F" w:rsidP="003C376F">
            <w:pPr>
              <w:ind w:left="-57" w:right="-57"/>
              <w:jc w:val="center"/>
              <w:rPr>
                <w:iCs/>
                <w:sz w:val="20"/>
              </w:rPr>
            </w:pPr>
          </w:p>
        </w:tc>
        <w:tc>
          <w:tcPr>
            <w:tcW w:w="852" w:type="dxa"/>
            <w:vMerge/>
            <w:shd w:val="clear" w:color="auto" w:fill="auto"/>
          </w:tcPr>
          <w:p w:rsidR="003C376F" w:rsidRPr="001F68D6" w:rsidRDefault="003C376F" w:rsidP="003C376F">
            <w:pPr>
              <w:ind w:left="-57" w:right="-57"/>
              <w:jc w:val="center"/>
              <w:rPr>
                <w:color w:val="FF0000"/>
                <w:sz w:val="18"/>
                <w:szCs w:val="18"/>
              </w:rPr>
            </w:pPr>
          </w:p>
        </w:tc>
        <w:tc>
          <w:tcPr>
            <w:tcW w:w="848" w:type="dxa"/>
            <w:vMerge/>
            <w:shd w:val="clear" w:color="auto" w:fill="auto"/>
            <w:vAlign w:val="center"/>
          </w:tcPr>
          <w:p w:rsidR="003C376F" w:rsidRPr="001F68D6" w:rsidRDefault="003C376F" w:rsidP="003C376F">
            <w:pPr>
              <w:ind w:left="-57" w:right="-57"/>
              <w:rPr>
                <w:sz w:val="18"/>
                <w:szCs w:val="18"/>
                <w:lang w:eastAsia="lt-LT"/>
              </w:rPr>
            </w:pPr>
          </w:p>
        </w:tc>
        <w:tc>
          <w:tcPr>
            <w:tcW w:w="969" w:type="dxa"/>
            <w:vMerge/>
            <w:shd w:val="clear" w:color="auto" w:fill="auto"/>
          </w:tcPr>
          <w:p w:rsidR="003C376F" w:rsidRPr="001F68D6" w:rsidRDefault="003C376F" w:rsidP="003C376F">
            <w:pPr>
              <w:ind w:left="-57" w:right="-57"/>
              <w:jc w:val="center"/>
              <w:rPr>
                <w:sz w:val="18"/>
                <w:szCs w:val="18"/>
              </w:rPr>
            </w:pPr>
          </w:p>
        </w:tc>
        <w:tc>
          <w:tcPr>
            <w:tcW w:w="1160" w:type="dxa"/>
            <w:vMerge/>
            <w:shd w:val="clear" w:color="auto" w:fill="auto"/>
          </w:tcPr>
          <w:p w:rsidR="003C376F" w:rsidRPr="001F68D6" w:rsidRDefault="003C376F" w:rsidP="003C376F">
            <w:pPr>
              <w:ind w:left="-57" w:right="-57"/>
              <w:jc w:val="center"/>
              <w:rPr>
                <w:sz w:val="18"/>
                <w:szCs w:val="18"/>
              </w:rPr>
            </w:pPr>
          </w:p>
        </w:tc>
        <w:tc>
          <w:tcPr>
            <w:tcW w:w="856" w:type="dxa"/>
            <w:vMerge/>
            <w:shd w:val="clear" w:color="auto" w:fill="auto"/>
          </w:tcPr>
          <w:p w:rsidR="003C376F" w:rsidRPr="001F68D6" w:rsidRDefault="003C376F" w:rsidP="003C376F">
            <w:pPr>
              <w:ind w:left="-57" w:right="-57"/>
              <w:jc w:val="center"/>
              <w:rPr>
                <w:sz w:val="18"/>
                <w:szCs w:val="18"/>
              </w:rPr>
            </w:pPr>
          </w:p>
        </w:tc>
        <w:tc>
          <w:tcPr>
            <w:tcW w:w="709" w:type="dxa"/>
            <w:vMerge/>
            <w:shd w:val="clear" w:color="auto" w:fill="auto"/>
          </w:tcPr>
          <w:p w:rsidR="003C376F" w:rsidRPr="001F68D6" w:rsidRDefault="003C376F" w:rsidP="003C376F">
            <w:pPr>
              <w:ind w:left="-57" w:right="-57"/>
              <w:jc w:val="center"/>
              <w:rPr>
                <w:iCs/>
                <w:sz w:val="18"/>
                <w:szCs w:val="18"/>
              </w:rPr>
            </w:pPr>
          </w:p>
        </w:tc>
        <w:tc>
          <w:tcPr>
            <w:tcW w:w="708" w:type="dxa"/>
            <w:vMerge/>
            <w:shd w:val="clear" w:color="auto" w:fill="auto"/>
          </w:tcPr>
          <w:p w:rsidR="003C376F" w:rsidRPr="001F68D6" w:rsidRDefault="003C376F" w:rsidP="003C376F">
            <w:pPr>
              <w:ind w:left="-57" w:right="-57"/>
              <w:jc w:val="center"/>
              <w:rPr>
                <w:iCs/>
                <w:sz w:val="18"/>
                <w:szCs w:val="18"/>
              </w:rPr>
            </w:pPr>
          </w:p>
        </w:tc>
        <w:tc>
          <w:tcPr>
            <w:tcW w:w="2268" w:type="dxa"/>
            <w:shd w:val="clear" w:color="auto" w:fill="auto"/>
          </w:tcPr>
          <w:p w:rsidR="003C376F" w:rsidRPr="00C73134" w:rsidRDefault="003C376F" w:rsidP="00DC6C12">
            <w:pPr>
              <w:ind w:left="-57" w:right="-57"/>
              <w:rPr>
                <w:i/>
                <w:iCs/>
                <w:sz w:val="18"/>
                <w:szCs w:val="18"/>
              </w:rPr>
            </w:pPr>
          </w:p>
        </w:tc>
        <w:tc>
          <w:tcPr>
            <w:tcW w:w="850" w:type="dxa"/>
            <w:shd w:val="clear" w:color="auto" w:fill="auto"/>
          </w:tcPr>
          <w:p w:rsidR="003C376F" w:rsidRDefault="003C376F" w:rsidP="00DC6C12">
            <w:pPr>
              <w:ind w:left="-57" w:right="-57"/>
              <w:rPr>
                <w:i/>
                <w:iCs/>
                <w:sz w:val="18"/>
                <w:szCs w:val="18"/>
              </w:rPr>
            </w:pPr>
          </w:p>
        </w:tc>
        <w:tc>
          <w:tcPr>
            <w:tcW w:w="775" w:type="dxa"/>
            <w:shd w:val="clear" w:color="auto" w:fill="auto"/>
          </w:tcPr>
          <w:p w:rsidR="003C376F" w:rsidRPr="00CD2C5E" w:rsidRDefault="003C376F" w:rsidP="003C376F">
            <w:pPr>
              <w:ind w:left="-57" w:right="-57"/>
              <w:jc w:val="center"/>
              <w:rPr>
                <w:iCs/>
                <w:sz w:val="18"/>
                <w:szCs w:val="18"/>
              </w:rPr>
            </w:pPr>
          </w:p>
        </w:tc>
        <w:tc>
          <w:tcPr>
            <w:tcW w:w="804" w:type="dxa"/>
            <w:shd w:val="clear" w:color="auto" w:fill="auto"/>
          </w:tcPr>
          <w:p w:rsidR="003C376F" w:rsidRPr="00CD2C5E" w:rsidRDefault="003C376F" w:rsidP="003C376F">
            <w:pPr>
              <w:ind w:left="-57" w:right="-57"/>
              <w:jc w:val="center"/>
              <w:rPr>
                <w:iCs/>
                <w:sz w:val="18"/>
                <w:szCs w:val="18"/>
              </w:rPr>
            </w:pPr>
          </w:p>
        </w:tc>
        <w:tc>
          <w:tcPr>
            <w:tcW w:w="987" w:type="dxa"/>
            <w:vMerge/>
            <w:shd w:val="clear" w:color="auto" w:fill="auto"/>
          </w:tcPr>
          <w:p w:rsidR="003C376F" w:rsidRPr="001F68D6" w:rsidRDefault="003C376F" w:rsidP="003C376F">
            <w:pPr>
              <w:ind w:left="-57" w:right="-57"/>
              <w:jc w:val="center"/>
              <w:rPr>
                <w:sz w:val="18"/>
                <w:szCs w:val="18"/>
              </w:rPr>
            </w:pPr>
          </w:p>
        </w:tc>
        <w:tc>
          <w:tcPr>
            <w:tcW w:w="780" w:type="dxa"/>
            <w:vMerge/>
            <w:shd w:val="clear" w:color="auto" w:fill="auto"/>
          </w:tcPr>
          <w:p w:rsidR="003C376F" w:rsidRPr="001F68D6" w:rsidRDefault="003C376F" w:rsidP="003C376F">
            <w:pPr>
              <w:ind w:left="-57" w:right="-57"/>
              <w:jc w:val="center"/>
              <w:rPr>
                <w:iCs/>
                <w:sz w:val="18"/>
                <w:szCs w:val="18"/>
              </w:rPr>
            </w:pPr>
          </w:p>
        </w:tc>
        <w:tc>
          <w:tcPr>
            <w:tcW w:w="845" w:type="dxa"/>
            <w:vMerge/>
            <w:shd w:val="clear" w:color="auto" w:fill="auto"/>
          </w:tcPr>
          <w:p w:rsidR="003C376F" w:rsidRPr="001F68D6" w:rsidRDefault="003C376F" w:rsidP="003C376F">
            <w:pPr>
              <w:ind w:left="-57" w:right="-57"/>
              <w:jc w:val="center"/>
              <w:rPr>
                <w:iCs/>
                <w:sz w:val="18"/>
                <w:szCs w:val="18"/>
              </w:rPr>
            </w:pPr>
          </w:p>
        </w:tc>
        <w:tc>
          <w:tcPr>
            <w:tcW w:w="883" w:type="dxa"/>
            <w:vMerge/>
            <w:shd w:val="clear" w:color="auto" w:fill="auto"/>
          </w:tcPr>
          <w:p w:rsidR="003C376F" w:rsidRPr="001F68D6" w:rsidRDefault="003C376F" w:rsidP="003C376F">
            <w:pPr>
              <w:ind w:left="-57" w:right="-57"/>
              <w:jc w:val="center"/>
              <w:rPr>
                <w:iCs/>
                <w:sz w:val="18"/>
                <w:szCs w:val="18"/>
              </w:rPr>
            </w:pPr>
          </w:p>
        </w:tc>
        <w:tc>
          <w:tcPr>
            <w:tcW w:w="1103" w:type="dxa"/>
            <w:vMerge/>
            <w:shd w:val="clear" w:color="auto" w:fill="auto"/>
          </w:tcPr>
          <w:p w:rsidR="003C376F" w:rsidRPr="001F68D6" w:rsidRDefault="003C376F" w:rsidP="003C376F">
            <w:pPr>
              <w:ind w:left="-57" w:right="-57"/>
              <w:jc w:val="center"/>
              <w:rPr>
                <w:iCs/>
                <w:sz w:val="18"/>
                <w:szCs w:val="18"/>
              </w:rPr>
            </w:pPr>
          </w:p>
        </w:tc>
        <w:tc>
          <w:tcPr>
            <w:tcW w:w="851" w:type="dxa"/>
            <w:vMerge/>
            <w:shd w:val="clear" w:color="auto" w:fill="auto"/>
          </w:tcPr>
          <w:p w:rsidR="003C376F" w:rsidRPr="001F68D6" w:rsidRDefault="003C376F" w:rsidP="003C376F">
            <w:pPr>
              <w:ind w:left="-57" w:right="-57"/>
              <w:jc w:val="center"/>
              <w:rPr>
                <w:iCs/>
                <w:sz w:val="18"/>
                <w:szCs w:val="18"/>
              </w:rPr>
            </w:pPr>
          </w:p>
        </w:tc>
        <w:tc>
          <w:tcPr>
            <w:tcW w:w="702" w:type="dxa"/>
            <w:vMerge/>
            <w:shd w:val="clear" w:color="auto" w:fill="auto"/>
          </w:tcPr>
          <w:p w:rsidR="003C376F" w:rsidRPr="001F68D6" w:rsidRDefault="003C376F" w:rsidP="003C376F">
            <w:pPr>
              <w:ind w:left="-57" w:right="-57"/>
              <w:jc w:val="center"/>
              <w:rPr>
                <w:iCs/>
                <w:sz w:val="18"/>
                <w:szCs w:val="18"/>
              </w:rPr>
            </w:pPr>
          </w:p>
        </w:tc>
        <w:tc>
          <w:tcPr>
            <w:tcW w:w="702" w:type="dxa"/>
            <w:vMerge/>
            <w:shd w:val="clear" w:color="auto" w:fill="auto"/>
          </w:tcPr>
          <w:p w:rsidR="003C376F" w:rsidRPr="001F68D6" w:rsidRDefault="003C376F" w:rsidP="003C376F">
            <w:pPr>
              <w:ind w:left="-57" w:right="-57"/>
              <w:jc w:val="center"/>
              <w:rPr>
                <w:iCs/>
                <w:sz w:val="18"/>
                <w:szCs w:val="18"/>
              </w:rPr>
            </w:pPr>
          </w:p>
        </w:tc>
        <w:tc>
          <w:tcPr>
            <w:tcW w:w="980" w:type="dxa"/>
            <w:vMerge/>
            <w:shd w:val="clear" w:color="auto" w:fill="auto"/>
          </w:tcPr>
          <w:p w:rsidR="003C376F" w:rsidRPr="001F68D6" w:rsidRDefault="003C376F" w:rsidP="003C376F">
            <w:pPr>
              <w:ind w:left="-57" w:right="-57"/>
              <w:jc w:val="center"/>
              <w:rPr>
                <w:iCs/>
                <w:sz w:val="18"/>
                <w:szCs w:val="18"/>
              </w:rPr>
            </w:pPr>
          </w:p>
        </w:tc>
        <w:tc>
          <w:tcPr>
            <w:tcW w:w="715" w:type="dxa"/>
            <w:vMerge/>
            <w:shd w:val="clear" w:color="auto" w:fill="auto"/>
          </w:tcPr>
          <w:p w:rsidR="003C376F" w:rsidRPr="001F68D6" w:rsidRDefault="003C376F" w:rsidP="003C376F">
            <w:pPr>
              <w:ind w:left="-57" w:right="-57"/>
              <w:jc w:val="center"/>
              <w:rPr>
                <w:iCs/>
                <w:sz w:val="18"/>
                <w:szCs w:val="18"/>
              </w:rPr>
            </w:pPr>
          </w:p>
        </w:tc>
        <w:tc>
          <w:tcPr>
            <w:tcW w:w="863" w:type="dxa"/>
            <w:vMerge/>
            <w:shd w:val="clear" w:color="auto" w:fill="auto"/>
          </w:tcPr>
          <w:p w:rsidR="003C376F" w:rsidRPr="001F68D6" w:rsidRDefault="003C376F" w:rsidP="003C376F">
            <w:pPr>
              <w:ind w:left="-57" w:right="-57"/>
              <w:jc w:val="center"/>
              <w:rPr>
                <w:iCs/>
                <w:sz w:val="18"/>
                <w:szCs w:val="18"/>
              </w:rPr>
            </w:pPr>
          </w:p>
        </w:tc>
        <w:tc>
          <w:tcPr>
            <w:tcW w:w="894" w:type="dxa"/>
            <w:vMerge/>
            <w:shd w:val="clear" w:color="auto" w:fill="auto"/>
          </w:tcPr>
          <w:p w:rsidR="003C376F" w:rsidRPr="001F68D6" w:rsidRDefault="003C376F" w:rsidP="003C376F">
            <w:pPr>
              <w:ind w:left="-57" w:right="-57"/>
              <w:jc w:val="center"/>
              <w:rPr>
                <w:iCs/>
                <w:sz w:val="18"/>
                <w:szCs w:val="18"/>
              </w:rPr>
            </w:pPr>
          </w:p>
        </w:tc>
      </w:tr>
    </w:tbl>
    <w:p w:rsidR="001336FB" w:rsidRPr="001F68D6" w:rsidRDefault="001336FB">
      <w:pPr>
        <w:rPr>
          <w:sz w:val="18"/>
          <w:szCs w:val="18"/>
        </w:rPr>
      </w:pPr>
      <w:r w:rsidRPr="001F68D6">
        <w:rPr>
          <w:i/>
          <w:iCs/>
          <w:sz w:val="18"/>
          <w:szCs w:val="18"/>
        </w:rPr>
        <w:t>*</w:t>
      </w:r>
      <w:r w:rsidRPr="001F68D6">
        <w:rPr>
          <w:sz w:val="18"/>
          <w:szCs w:val="18"/>
        </w:rPr>
        <w:t>Rodiklis nustatytas Ekonomikos gaivinimo ir atsparumo didinimo plane „Naujos kartos Lietuva“ ir neturi siektinų reikšmių. Duomenys bus renkami iš susijusių reformų ir investicijų rodiklių. Ataskaitinis laikotarpis iki 2027 m. vasario mėn.</w:t>
      </w:r>
    </w:p>
    <w:p w:rsidR="004A53CC" w:rsidRDefault="00F41E84">
      <w:pPr>
        <w:spacing w:after="200" w:line="276" w:lineRule="auto"/>
        <w:jc w:val="center"/>
        <w:rPr>
          <w:sz w:val="22"/>
          <w:szCs w:val="24"/>
        </w:rPr>
      </w:pPr>
      <w:r>
        <w:rPr>
          <w:szCs w:val="24"/>
        </w:rPr>
        <w:t>________________________________________</w:t>
      </w:r>
    </w:p>
    <w:sectPr w:rsidR="004A53CC" w:rsidSect="002B20EF">
      <w:headerReference w:type="default" r:id="rId11"/>
      <w:pgSz w:w="23811" w:h="16838" w:orient="landscape" w:code="8"/>
      <w:pgMar w:top="709" w:right="851"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C4E" w:rsidRDefault="00091C4E">
      <w:pPr>
        <w:rPr>
          <w:sz w:val="22"/>
          <w:szCs w:val="22"/>
        </w:rPr>
      </w:pPr>
      <w:r>
        <w:rPr>
          <w:sz w:val="22"/>
          <w:szCs w:val="22"/>
        </w:rPr>
        <w:separator/>
      </w:r>
    </w:p>
  </w:endnote>
  <w:endnote w:type="continuationSeparator" w:id="0">
    <w:p w:rsidR="00091C4E" w:rsidRDefault="00091C4E">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BA"/>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C4E" w:rsidRDefault="00091C4E">
      <w:pPr>
        <w:rPr>
          <w:sz w:val="22"/>
          <w:szCs w:val="22"/>
        </w:rPr>
      </w:pPr>
      <w:r>
        <w:rPr>
          <w:sz w:val="22"/>
          <w:szCs w:val="22"/>
        </w:rPr>
        <w:separator/>
      </w:r>
    </w:p>
  </w:footnote>
  <w:footnote w:type="continuationSeparator" w:id="0">
    <w:p w:rsidR="00091C4E" w:rsidRDefault="00091C4E">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882376"/>
      <w:docPartObj>
        <w:docPartGallery w:val="Page Numbers (Top of Page)"/>
        <w:docPartUnique/>
      </w:docPartObj>
    </w:sdtPr>
    <w:sdtEndPr/>
    <w:sdtContent>
      <w:p w:rsidR="00F41E84" w:rsidRDefault="00F41E84">
        <w:pPr>
          <w:pStyle w:val="Header"/>
          <w:jc w:val="center"/>
        </w:pPr>
        <w:r>
          <w:fldChar w:fldCharType="begin"/>
        </w:r>
        <w:r>
          <w:instrText>PAGE   \* MERGEFORMAT</w:instrText>
        </w:r>
        <w:r>
          <w:fldChar w:fldCharType="separate"/>
        </w:r>
        <w:r>
          <w:rPr>
            <w:noProof/>
          </w:rPr>
          <w:t>4</w:t>
        </w:r>
        <w:r>
          <w:fldChar w:fldCharType="end"/>
        </w:r>
      </w:p>
    </w:sdtContent>
  </w:sdt>
  <w:p w:rsidR="004A53CC" w:rsidRDefault="004A53CC">
    <w:pPr>
      <w:ind w:left="16443"/>
      <w:jc w:val="both"/>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26D"/>
    <w:multiLevelType w:val="multilevel"/>
    <w:tmpl w:val="6958D7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61"/>
    <w:rsid w:val="0003579B"/>
    <w:rsid w:val="00056100"/>
    <w:rsid w:val="00091C4E"/>
    <w:rsid w:val="001336FB"/>
    <w:rsid w:val="00142E26"/>
    <w:rsid w:val="001603EA"/>
    <w:rsid w:val="001F68D6"/>
    <w:rsid w:val="00214094"/>
    <w:rsid w:val="00231ED8"/>
    <w:rsid w:val="002B20EF"/>
    <w:rsid w:val="003878DD"/>
    <w:rsid w:val="003C376F"/>
    <w:rsid w:val="003D4527"/>
    <w:rsid w:val="003D7B89"/>
    <w:rsid w:val="00440717"/>
    <w:rsid w:val="004A53CC"/>
    <w:rsid w:val="004D7E93"/>
    <w:rsid w:val="00517780"/>
    <w:rsid w:val="0055710C"/>
    <w:rsid w:val="006205D7"/>
    <w:rsid w:val="006367ED"/>
    <w:rsid w:val="0065490B"/>
    <w:rsid w:val="00671969"/>
    <w:rsid w:val="00675D91"/>
    <w:rsid w:val="006C1599"/>
    <w:rsid w:val="006D3E86"/>
    <w:rsid w:val="007E537A"/>
    <w:rsid w:val="008A1337"/>
    <w:rsid w:val="008F32B9"/>
    <w:rsid w:val="00960F26"/>
    <w:rsid w:val="00966EDD"/>
    <w:rsid w:val="009C532D"/>
    <w:rsid w:val="009D3CED"/>
    <w:rsid w:val="00A00B79"/>
    <w:rsid w:val="00A17169"/>
    <w:rsid w:val="00A17261"/>
    <w:rsid w:val="00A438C4"/>
    <w:rsid w:val="00AB48E7"/>
    <w:rsid w:val="00B15A56"/>
    <w:rsid w:val="00B15B1A"/>
    <w:rsid w:val="00B31272"/>
    <w:rsid w:val="00B53C0E"/>
    <w:rsid w:val="00C73134"/>
    <w:rsid w:val="00CD2C5E"/>
    <w:rsid w:val="00CF1BBE"/>
    <w:rsid w:val="00D06DBC"/>
    <w:rsid w:val="00D953C1"/>
    <w:rsid w:val="00DC6C12"/>
    <w:rsid w:val="00E41AFA"/>
    <w:rsid w:val="00F41E84"/>
    <w:rsid w:val="00FC1FC6"/>
    <w:rsid w:val="00FE0EC9"/>
    <w:rsid w:val="00FF3D47"/>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2127A"/>
  <w15:docId w15:val="{2BD6EC3C-5A44-4129-AB2A-220C6DA0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31272"/>
    <w:pPr>
      <w:keepNext/>
      <w:keepLines/>
      <w:spacing w:before="4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E84"/>
    <w:pPr>
      <w:tabs>
        <w:tab w:val="center" w:pos="4819"/>
        <w:tab w:val="right" w:pos="9638"/>
      </w:tabs>
    </w:pPr>
  </w:style>
  <w:style w:type="character" w:customStyle="1" w:styleId="HeaderChar">
    <w:name w:val="Header Char"/>
    <w:basedOn w:val="DefaultParagraphFont"/>
    <w:link w:val="Header"/>
    <w:uiPriority w:val="99"/>
    <w:rsid w:val="00F41E84"/>
  </w:style>
  <w:style w:type="paragraph" w:styleId="Footer">
    <w:name w:val="footer"/>
    <w:basedOn w:val="Normal"/>
    <w:link w:val="FooterChar"/>
    <w:unhideWhenUsed/>
    <w:rsid w:val="00F41E84"/>
    <w:pPr>
      <w:tabs>
        <w:tab w:val="center" w:pos="4819"/>
        <w:tab w:val="right" w:pos="9638"/>
      </w:tabs>
    </w:pPr>
  </w:style>
  <w:style w:type="character" w:customStyle="1" w:styleId="FooterChar">
    <w:name w:val="Footer Char"/>
    <w:basedOn w:val="DefaultParagraphFont"/>
    <w:link w:val="Footer"/>
    <w:rsid w:val="00F41E84"/>
  </w:style>
  <w:style w:type="character" w:styleId="Hyperlink">
    <w:name w:val="Hyperlink"/>
    <w:basedOn w:val="DefaultParagraphFont"/>
    <w:unhideWhenUsed/>
    <w:rsid w:val="00966EDD"/>
    <w:rPr>
      <w:color w:val="0563C1" w:themeColor="hyperlink"/>
      <w:u w:val="single"/>
    </w:rPr>
  </w:style>
  <w:style w:type="character" w:customStyle="1" w:styleId="UnresolvedMention">
    <w:name w:val="Unresolved Mention"/>
    <w:basedOn w:val="DefaultParagraphFont"/>
    <w:uiPriority w:val="99"/>
    <w:semiHidden/>
    <w:unhideWhenUsed/>
    <w:rsid w:val="00966EDD"/>
    <w:rPr>
      <w:color w:val="605E5C"/>
      <w:shd w:val="clear" w:color="auto" w:fill="E1DFDD"/>
    </w:rPr>
  </w:style>
  <w:style w:type="character" w:customStyle="1" w:styleId="Heading2Char">
    <w:name w:val="Heading 2 Char"/>
    <w:basedOn w:val="DefaultParagraphFont"/>
    <w:link w:val="Heading2"/>
    <w:uiPriority w:val="9"/>
    <w:rsid w:val="00B31272"/>
    <w:rPr>
      <w:rFonts w:asciiTheme="majorHAnsi" w:eastAsiaTheme="majorEastAsia" w:hAnsiTheme="majorHAnsi" w:cstheme="majorBidi"/>
      <w:color w:val="2E74B5" w:themeColor="accent1" w:themeShade="BF"/>
      <w:sz w:val="26"/>
      <w:szCs w:val="26"/>
    </w:rPr>
  </w:style>
  <w:style w:type="character" w:customStyle="1" w:styleId="cf01">
    <w:name w:val="cf01"/>
    <w:basedOn w:val="DefaultParagraphFont"/>
    <w:rsid w:val="001336F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10694">
      <w:bodyDiv w:val="1"/>
      <w:marLeft w:val="0"/>
      <w:marRight w:val="0"/>
      <w:marTop w:val="0"/>
      <w:marBottom w:val="0"/>
      <w:divBdr>
        <w:top w:val="none" w:sz="0" w:space="0" w:color="auto"/>
        <w:left w:val="none" w:sz="0" w:space="0" w:color="auto"/>
        <w:bottom w:val="none" w:sz="0" w:space="0" w:color="auto"/>
        <w:right w:val="none" w:sz="0" w:space="0" w:color="auto"/>
      </w:divBdr>
    </w:div>
    <w:div w:id="403063439">
      <w:bodyDiv w:val="1"/>
      <w:marLeft w:val="0"/>
      <w:marRight w:val="0"/>
      <w:marTop w:val="0"/>
      <w:marBottom w:val="0"/>
      <w:divBdr>
        <w:top w:val="none" w:sz="0" w:space="0" w:color="auto"/>
        <w:left w:val="none" w:sz="0" w:space="0" w:color="auto"/>
        <w:bottom w:val="none" w:sz="0" w:space="0" w:color="auto"/>
        <w:right w:val="none" w:sz="0" w:space="0" w:color="auto"/>
      </w:divBdr>
    </w:div>
    <w:div w:id="1426656409">
      <w:bodyDiv w:val="1"/>
      <w:marLeft w:val="0"/>
      <w:marRight w:val="0"/>
      <w:marTop w:val="0"/>
      <w:marBottom w:val="0"/>
      <w:divBdr>
        <w:top w:val="none" w:sz="0" w:space="0" w:color="auto"/>
        <w:left w:val="none" w:sz="0" w:space="0" w:color="auto"/>
        <w:bottom w:val="none" w:sz="0" w:space="0" w:color="auto"/>
        <w:right w:val="none" w:sz="0" w:space="0" w:color="auto"/>
      </w:divBdr>
    </w:div>
    <w:div w:id="17855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r_x002e_ xmlns="81bdba5e-b18c-4c8c-b425-bdf6d075d995" xsi:nil="true"/>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335E5C6B5C11DD4A99D266AAA95E55E0" ma:contentTypeVersion="9" ma:contentTypeDescription="Kurkite naują dokumentą." ma:contentTypeScope="" ma:versionID="3a17c1143c6d57a0102f74ad9bf11476">
  <xsd:schema xmlns:xsd="http://www.w3.org/2001/XMLSchema" xmlns:xs="http://www.w3.org/2001/XMLSchema" xmlns:p="http://schemas.microsoft.com/office/2006/metadata/properties" xmlns:ns2="81bdba5e-b18c-4c8c-b425-bdf6d075d995" xmlns:ns3="db96e512-6920-4eea-b1bf-b81a54d2aa3c" targetNamespace="http://schemas.microsoft.com/office/2006/metadata/properties" ma:root="true" ma:fieldsID="4f8535f91b4c37af57db0afb5d0a3312" ns2:_="" ns3:_="">
    <xsd:import namespace="81bdba5e-b18c-4c8c-b425-bdf6d075d995"/>
    <xsd:import namespace="db96e512-6920-4eea-b1bf-b81a54d2aa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Nr_x002e_"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dba5e-b18c-4c8c-b425-bdf6d075d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r_x002e_" ma:index="12" nillable="true" ma:displayName="Nr." ma:format="Dropdown" ma:internalName="Nr_x002e_" ma:percentage="FALSE">
      <xsd:simpleType>
        <xsd:restriction base="dms:Number"/>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96e512-6920-4eea-b1bf-b81a54d2aa3c" elementFormDefault="qualified">
    <xsd:import namespace="http://schemas.microsoft.com/office/2006/documentManagement/types"/>
    <xsd:import namespace="http://schemas.microsoft.com/office/infopath/2007/PartnerControls"/>
    <xsd:element name="SharedWithUsers" ma:index="15"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Bendrinta su išsamia informacija"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398FF-F548-4F39-9C86-FC05EA5E5947}">
  <ds:schemaRefs>
    <ds:schemaRef ds:uri="http://schemas.microsoft.com/office/2006/metadata/properties"/>
    <ds:schemaRef ds:uri="http://schemas.microsoft.com/office/infopath/2007/PartnerControls"/>
    <ds:schemaRef ds:uri="81bdba5e-b18c-4c8c-b425-bdf6d075d995"/>
  </ds:schemaRefs>
</ds:datastoreItem>
</file>

<file path=customXml/itemProps2.xml><?xml version="1.0" encoding="utf-8"?>
<ds:datastoreItem xmlns:ds="http://schemas.openxmlformats.org/officeDocument/2006/customXml" ds:itemID="{D70B174E-2ECF-4B16-B16C-252FD402FDBD}">
  <ds:schemaRefs>
    <ds:schemaRef ds:uri="http://schemas.microsoft.com/sharepoint/v3/contenttype/forms"/>
  </ds:schemaRefs>
</ds:datastoreItem>
</file>

<file path=customXml/itemProps3.xml><?xml version="1.0" encoding="utf-8"?>
<ds:datastoreItem xmlns:ds="http://schemas.openxmlformats.org/officeDocument/2006/customXml" ds:itemID="{5CA6F030-2F2F-4256-BEDD-C2F1ABB14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dba5e-b18c-4c8c-b425-bdf6d075d995"/>
    <ds:schemaRef ds:uri="db96e512-6920-4eea-b1bf-b81a54d2a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25E5F8-E8E1-45E1-B885-AE8311053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1925</Words>
  <Characters>1098</Characters>
  <Application>Microsoft Office Word</Application>
  <DocSecurity>0</DocSecurity>
  <Lines>9</Lines>
  <Paragraphs>6</Paragraphs>
  <ScaleCrop>false</ScaleCrop>
  <HeadingPairs>
    <vt:vector size="6" baseType="variant">
      <vt:variant>
        <vt:lpstr>Title</vt:lpstr>
      </vt:variant>
      <vt:variant>
        <vt:i4>1</vt:i4>
      </vt:variant>
      <vt:variant>
        <vt:lpstr>Pavadinimas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3017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 Markevičienė</dc:creator>
  <cp:lastModifiedBy>Lina Giedraitienė</cp:lastModifiedBy>
  <cp:revision>9</cp:revision>
  <dcterms:created xsi:type="dcterms:W3CDTF">2022-07-27T12:11:00Z</dcterms:created>
  <dcterms:modified xsi:type="dcterms:W3CDTF">2022-07-27T14:01:00Z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0x010100335E5C6B5C11DD4A99D266AAA95E55E0</vt:lpwstr>
  </property>
</Properties>
</file>