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C519" w14:textId="77777777" w:rsidR="00B44600" w:rsidRDefault="00B44600" w:rsidP="00B44600">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010B0CE" w14:textId="77777777" w:rsidR="00B44600" w:rsidRPr="00544FA3" w:rsidRDefault="00B44600" w:rsidP="00B44600">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ab/>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3AD7F044" w14:textId="77777777" w:rsidR="00720D53" w:rsidRPr="00544FA3" w:rsidRDefault="00720D53" w:rsidP="00720D5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4</w:t>
      </w:r>
    </w:p>
    <w:p w14:paraId="092931B4" w14:textId="77777777" w:rsidR="00720D53" w:rsidRPr="00544FA3" w:rsidRDefault="00720D53" w:rsidP="00720D5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C64876F" w14:textId="77777777" w:rsidR="00720D53" w:rsidRPr="00544FA3" w:rsidRDefault="00720D53" w:rsidP="00720D5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0" w:name="_Hlk112910248"/>
      <w:r w:rsidRPr="00544FA3">
        <w:rPr>
          <w:rFonts w:ascii="Times New Roman" w:eastAsia="Times New Roman" w:hAnsi="Times New Roman" w:cs="Times New Roman"/>
          <w:b/>
          <w:caps/>
          <w:snapToGrid w:val="0"/>
        </w:rPr>
        <w:t>Armėnijos transporto institucijų gebėjimų stiprinimas transporto saugos ir konkurencijos srityje (III)</w:t>
      </w:r>
      <w:bookmarkEnd w:id="0"/>
      <w:r w:rsidRPr="00544FA3">
        <w:rPr>
          <w:rFonts w:ascii="Times New Roman" w:eastAsia="Times New Roman" w:hAnsi="Times New Roman" w:cs="Times New Roman"/>
          <w:b/>
          <w:caps/>
          <w:snapToGrid w:val="0"/>
        </w:rPr>
        <w:t>“</w:t>
      </w:r>
    </w:p>
    <w:p w14:paraId="07AC53EB" w14:textId="77777777" w:rsidR="00720D53" w:rsidRPr="00544FA3" w:rsidRDefault="00720D53" w:rsidP="00720D53">
      <w:pPr>
        <w:widowControl w:val="0"/>
        <w:tabs>
          <w:tab w:val="left" w:pos="0"/>
        </w:tabs>
        <w:suppressAutoHyphens/>
        <w:spacing w:after="0" w:line="240" w:lineRule="auto"/>
        <w:rPr>
          <w:rFonts w:ascii="Times New Roman" w:eastAsia="Times New Roman" w:hAnsi="Times New Roman" w:cs="Times New Roman"/>
          <w:b/>
          <w:caps/>
          <w:snapToGrid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720D53" w:rsidRPr="00544FA3" w14:paraId="55DC64CD" w14:textId="77777777" w:rsidTr="00202096">
        <w:trPr>
          <w:trHeight w:val="551"/>
        </w:trPr>
        <w:tc>
          <w:tcPr>
            <w:tcW w:w="9356" w:type="dxa"/>
            <w:gridSpan w:val="2"/>
            <w:shd w:val="clear" w:color="auto" w:fill="BFBFBF"/>
            <w:vAlign w:val="center"/>
          </w:tcPr>
          <w:p w14:paraId="4247C1A3" w14:textId="77777777" w:rsidR="00720D53" w:rsidRPr="00544FA3" w:rsidRDefault="00720D53"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720D53" w:rsidRPr="00544FA3" w14:paraId="722B41E7" w14:textId="77777777" w:rsidTr="00202096">
        <w:trPr>
          <w:trHeight w:val="551"/>
        </w:trPr>
        <w:tc>
          <w:tcPr>
            <w:tcW w:w="3828" w:type="dxa"/>
            <w:shd w:val="clear" w:color="auto" w:fill="F2F2F2"/>
            <w:vAlign w:val="center"/>
          </w:tcPr>
          <w:p w14:paraId="0313FD78" w14:textId="77777777" w:rsidR="00720D53" w:rsidRPr="00544FA3" w:rsidRDefault="00720D5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FFFFF"/>
            <w:vAlign w:val="center"/>
          </w:tcPr>
          <w:p w14:paraId="30EF94C6" w14:textId="77777777" w:rsidR="00720D53" w:rsidRPr="00544FA3" w:rsidRDefault="00720D53"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Armėnijos Respublika</w:t>
            </w:r>
          </w:p>
        </w:tc>
      </w:tr>
      <w:tr w:rsidR="00720D53" w:rsidRPr="00544FA3" w14:paraId="502AAB97" w14:textId="77777777" w:rsidTr="00202096">
        <w:trPr>
          <w:trHeight w:val="551"/>
        </w:trPr>
        <w:tc>
          <w:tcPr>
            <w:tcW w:w="3828" w:type="dxa"/>
            <w:shd w:val="clear" w:color="auto" w:fill="F2F2F2"/>
            <w:vAlign w:val="center"/>
          </w:tcPr>
          <w:p w14:paraId="008C20D3" w14:textId="77777777" w:rsidR="00720D53" w:rsidRPr="00544FA3" w:rsidRDefault="00720D53"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FFFFF"/>
            <w:vAlign w:val="center"/>
          </w:tcPr>
          <w:p w14:paraId="1AD3F354" w14:textId="77777777" w:rsidR="00720D53" w:rsidRPr="00544FA3" w:rsidRDefault="00720D53"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Geras valdymas</w:t>
            </w:r>
          </w:p>
        </w:tc>
      </w:tr>
      <w:tr w:rsidR="00720D53" w:rsidRPr="00544FA3" w14:paraId="452BFDAD" w14:textId="77777777" w:rsidTr="00202096">
        <w:trPr>
          <w:trHeight w:val="551"/>
        </w:trPr>
        <w:tc>
          <w:tcPr>
            <w:tcW w:w="9356" w:type="dxa"/>
            <w:gridSpan w:val="2"/>
            <w:shd w:val="clear" w:color="auto" w:fill="BFBFBF"/>
            <w:vAlign w:val="center"/>
          </w:tcPr>
          <w:p w14:paraId="1005AF8A" w14:textId="77777777" w:rsidR="00720D53" w:rsidRPr="00544FA3" w:rsidRDefault="00720D53"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720D53" w:rsidRPr="00544FA3" w14:paraId="02C8CB30" w14:textId="77777777" w:rsidTr="00202096">
        <w:trPr>
          <w:trHeight w:val="966"/>
        </w:trPr>
        <w:tc>
          <w:tcPr>
            <w:tcW w:w="3828" w:type="dxa"/>
            <w:shd w:val="clear" w:color="auto" w:fill="F2F2F2"/>
            <w:vAlign w:val="center"/>
          </w:tcPr>
          <w:p w14:paraId="43AFA6B2" w14:textId="77777777" w:rsidR="00720D53" w:rsidRPr="00544FA3" w:rsidRDefault="00720D5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FFFFF"/>
            <w:vAlign w:val="center"/>
          </w:tcPr>
          <w:p w14:paraId="449AD421" w14:textId="77777777" w:rsidR="00720D53" w:rsidRPr="00544FA3" w:rsidRDefault="00720D53"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Tęsti saugios transporto sistemos kūrimą Armėnijoje, įgyvendinant ES ir Armėnijos visapusiškos ir tvirtesnės partnerystės  susitarimą (CEPA).</w:t>
            </w:r>
          </w:p>
        </w:tc>
      </w:tr>
      <w:tr w:rsidR="00720D53" w:rsidRPr="00544FA3" w14:paraId="35A8D481" w14:textId="77777777" w:rsidTr="00202096">
        <w:trPr>
          <w:trHeight w:val="2183"/>
        </w:trPr>
        <w:tc>
          <w:tcPr>
            <w:tcW w:w="3828" w:type="dxa"/>
            <w:shd w:val="clear" w:color="auto" w:fill="F2F2F2"/>
            <w:vAlign w:val="center"/>
          </w:tcPr>
          <w:p w14:paraId="6C2791B4" w14:textId="77777777" w:rsidR="00720D53" w:rsidRPr="00544FA3" w:rsidRDefault="00720D5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FFFFF"/>
            <w:vAlign w:val="center"/>
          </w:tcPr>
          <w:p w14:paraId="450D991C" w14:textId="77777777" w:rsidR="00720D53" w:rsidRPr="00544FA3" w:rsidRDefault="00720D53" w:rsidP="00202096">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Prisidėti prie geležinkelių transporto teisinio reguliavimo reformos (keleivių vežimo skatinimas, pasienio ruožų specifika, susitarimai su kaimyninėmis šalimis dėl techninių ir saugos reikalavimų);</w:t>
            </w:r>
          </w:p>
          <w:p w14:paraId="35B7952C" w14:textId="77777777" w:rsidR="00720D53" w:rsidRPr="00544FA3" w:rsidRDefault="00720D53" w:rsidP="00202096">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Sustiprinti kelių transporto saugą (automobilių transporto kontrolė kelyje, kelių transporto ekspertų kompetencijų kėlimas);</w:t>
            </w:r>
          </w:p>
          <w:p w14:paraId="5EE29632" w14:textId="77777777" w:rsidR="00720D53" w:rsidRPr="00544FA3" w:rsidRDefault="00720D53" w:rsidP="00202096">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Prisidėti prie Armėnijos civilinės aviacijos sistemos priartinimo ES reikalavimams.</w:t>
            </w:r>
          </w:p>
        </w:tc>
      </w:tr>
      <w:tr w:rsidR="00720D53" w:rsidRPr="00544FA3" w14:paraId="7686ED90" w14:textId="77777777" w:rsidTr="00202096">
        <w:trPr>
          <w:trHeight w:val="551"/>
        </w:trPr>
        <w:tc>
          <w:tcPr>
            <w:tcW w:w="3828" w:type="dxa"/>
            <w:shd w:val="clear" w:color="auto" w:fill="F2F2F2"/>
            <w:vAlign w:val="center"/>
          </w:tcPr>
          <w:p w14:paraId="28ED38A0" w14:textId="77777777" w:rsidR="00720D53" w:rsidRPr="00544FA3" w:rsidRDefault="00720D53"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FFFFF"/>
            <w:vAlign w:val="center"/>
          </w:tcPr>
          <w:p w14:paraId="2FA20AD9" w14:textId="77777777" w:rsidR="00720D53" w:rsidRPr="00544FA3" w:rsidRDefault="00720D53"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Armėnijos transporto sektoriaus valstybės institucijos</w:t>
            </w:r>
          </w:p>
        </w:tc>
      </w:tr>
      <w:tr w:rsidR="00720D53" w:rsidRPr="00544FA3" w14:paraId="432D8F60" w14:textId="77777777" w:rsidTr="00202096">
        <w:trPr>
          <w:trHeight w:val="1062"/>
        </w:trPr>
        <w:tc>
          <w:tcPr>
            <w:tcW w:w="3828" w:type="dxa"/>
            <w:shd w:val="clear" w:color="auto" w:fill="F2F2F2"/>
            <w:vAlign w:val="center"/>
          </w:tcPr>
          <w:p w14:paraId="31549923" w14:textId="77777777" w:rsidR="00720D53" w:rsidRPr="00544FA3" w:rsidRDefault="00720D53"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FFFFF"/>
            <w:vAlign w:val="center"/>
          </w:tcPr>
          <w:p w14:paraId="158395E1" w14:textId="77777777" w:rsidR="00720D53" w:rsidRPr="00544FA3" w:rsidRDefault="00720D53" w:rsidP="00202096">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12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kai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iki</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74199B1F" w14:textId="77777777" w:rsidR="00720D53" w:rsidRPr="00544FA3" w:rsidRDefault="00720D53" w:rsidP="00202096">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24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daugiau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1560F1EB" w14:textId="77777777" w:rsidR="00720D53" w:rsidRPr="00544FA3" w:rsidRDefault="00720D53" w:rsidP="00202096">
            <w:pPr>
              <w:tabs>
                <w:tab w:val="right" w:pos="8789"/>
              </w:tabs>
              <w:suppressAutoHyphens/>
              <w:spacing w:after="0" w:line="240" w:lineRule="auto"/>
              <w:jc w:val="both"/>
              <w:rPr>
                <w:rFonts w:ascii="Times New Roman" w:eastAsia="Times New Roman" w:hAnsi="Times New Roman" w:cs="Times New Roman"/>
                <w:lang w:eastAsia="en-GB"/>
              </w:rPr>
            </w:pPr>
          </w:p>
        </w:tc>
      </w:tr>
      <w:tr w:rsidR="00720D53" w:rsidRPr="00544FA3" w14:paraId="4E635585" w14:textId="77777777" w:rsidTr="00202096">
        <w:trPr>
          <w:trHeight w:val="674"/>
        </w:trPr>
        <w:tc>
          <w:tcPr>
            <w:tcW w:w="3828" w:type="dxa"/>
            <w:shd w:val="clear" w:color="auto" w:fill="F2F2F2"/>
          </w:tcPr>
          <w:p w14:paraId="45E228E5" w14:textId="77777777" w:rsidR="00720D53" w:rsidRPr="00544FA3" w:rsidRDefault="00720D53"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1047BCED" w14:textId="77777777" w:rsidR="00720D53" w:rsidRPr="00544FA3" w:rsidRDefault="00720D53" w:rsidP="00202096">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FFFFF"/>
          </w:tcPr>
          <w:p w14:paraId="2B277A82" w14:textId="77777777" w:rsidR="00720D53" w:rsidRPr="00544FA3" w:rsidRDefault="00720D53" w:rsidP="00720D53">
            <w:pPr>
              <w:numPr>
                <w:ilvl w:val="0"/>
                <w:numId w:val="1"/>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24939FBA" w14:textId="77777777" w:rsidR="00720D53" w:rsidRPr="00544FA3" w:rsidRDefault="00720D53" w:rsidP="00202096">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  Projekto vykdytojo finansinis indėlis ir/ar kiti finansavimo šaltiniai.</w:t>
            </w:r>
          </w:p>
        </w:tc>
      </w:tr>
    </w:tbl>
    <w:p w14:paraId="53D4BCF0" w14:textId="77777777" w:rsidR="00720D53" w:rsidRPr="00544FA3" w:rsidRDefault="00720D53" w:rsidP="00720D53">
      <w:pPr>
        <w:spacing w:after="0" w:line="240" w:lineRule="auto"/>
        <w:rPr>
          <w:rFonts w:ascii="Times New Roman" w:eastAsia="Times New Roman" w:hAnsi="Times New Roman" w:cs="Times New Roman"/>
          <w:lang w:eastAsia="en-GB"/>
        </w:rPr>
      </w:pPr>
    </w:p>
    <w:p w14:paraId="392B01FD" w14:textId="10CA1376" w:rsidR="00B44600" w:rsidRPr="003C5F0E" w:rsidRDefault="00720D53" w:rsidP="00720D53">
      <w:pPr>
        <w:spacing w:after="0" w:line="240" w:lineRule="auto"/>
        <w:ind w:right="141"/>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RPr="003C5F0E"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3C5F0E"/>
    <w:rsid w:val="00720D53"/>
    <w:rsid w:val="00B44600"/>
    <w:rsid w:val="00E00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Characters>
  <Application>Microsoft Office Word</Application>
  <DocSecurity>0</DocSecurity>
  <Lines>6</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2</cp:revision>
  <dcterms:created xsi:type="dcterms:W3CDTF">2022-09-07T09:25:00Z</dcterms:created>
  <dcterms:modified xsi:type="dcterms:W3CDTF">2022-09-07T09:25:00Z</dcterms:modified>
</cp:coreProperties>
</file>