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C9D7" w14:textId="278B8E8C" w:rsidR="0038123C" w:rsidRDefault="0038123C" w:rsidP="0038123C">
      <w:pPr>
        <w:spacing w:before="960"/>
        <w:jc w:val="center"/>
        <w:rPr>
          <w:b/>
          <w:sz w:val="32"/>
        </w:rPr>
      </w:pPr>
      <w:r>
        <w:rPr>
          <w:b/>
          <w:noProof/>
          <w:sz w:val="32"/>
        </w:rPr>
        <w:drawing>
          <wp:inline distT="0" distB="0" distL="0" distR="0" wp14:anchorId="74C9B050" wp14:editId="2F75BBAE">
            <wp:extent cx="3335020" cy="762000"/>
            <wp:effectExtent l="0" t="0" r="0" b="0"/>
            <wp:docPr id="289197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762000"/>
                    </a:xfrm>
                    <a:prstGeom prst="rect">
                      <a:avLst/>
                    </a:prstGeom>
                    <a:noFill/>
                  </pic:spPr>
                </pic:pic>
              </a:graphicData>
            </a:graphic>
          </wp:inline>
        </w:drawing>
      </w:r>
      <w:r>
        <w:rPr>
          <w:b/>
          <w:noProof/>
          <w:sz w:val="32"/>
        </w:rPr>
        <w:drawing>
          <wp:inline distT="0" distB="0" distL="0" distR="0" wp14:anchorId="274B2CC3" wp14:editId="14A5611F">
            <wp:extent cx="1962785" cy="737870"/>
            <wp:effectExtent l="0" t="0" r="0" b="5080"/>
            <wp:docPr id="3049175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737870"/>
                    </a:xfrm>
                    <a:prstGeom prst="rect">
                      <a:avLst/>
                    </a:prstGeom>
                    <a:noFill/>
                  </pic:spPr>
                </pic:pic>
              </a:graphicData>
            </a:graphic>
          </wp:inline>
        </w:drawing>
      </w:r>
    </w:p>
    <w:p w14:paraId="391D1EEC" w14:textId="405BDBDF" w:rsidR="0038123C" w:rsidRDefault="0038123C" w:rsidP="0038123C">
      <w:pPr>
        <w:spacing w:before="960"/>
        <w:jc w:val="center"/>
        <w:rPr>
          <w:b/>
          <w:sz w:val="32"/>
        </w:rPr>
      </w:pPr>
      <w:r>
        <w:rPr>
          <w:b/>
          <w:sz w:val="32"/>
        </w:rPr>
        <w:t>CORRIGENDUM</w:t>
      </w:r>
    </w:p>
    <w:p w14:paraId="387E36EC" w14:textId="77777777" w:rsidR="0038123C" w:rsidRDefault="0038123C" w:rsidP="0038123C">
      <w:pPr>
        <w:spacing w:before="960"/>
        <w:jc w:val="left"/>
        <w:rPr>
          <w:sz w:val="32"/>
        </w:rPr>
      </w:pPr>
      <w:r>
        <w:rPr>
          <w:b/>
          <w:sz w:val="32"/>
        </w:rPr>
        <w:t>Contracting authority</w:t>
      </w:r>
      <w:r>
        <w:rPr>
          <w:sz w:val="32"/>
        </w:rPr>
        <w:t xml:space="preserve">: </w:t>
      </w:r>
      <w:r>
        <w:rPr>
          <w:b/>
          <w:sz w:val="32"/>
        </w:rPr>
        <w:t>Central Project Management Agency, Lithuania</w:t>
      </w:r>
      <w:r>
        <w:rPr>
          <w:sz w:val="32"/>
        </w:rPr>
        <w:t xml:space="preserve"> </w:t>
      </w:r>
      <w:hyperlink r:id="rId10" w:history="1">
        <w:r w:rsidRPr="002D112E">
          <w:rPr>
            <w:rStyle w:val="Hyperlink"/>
            <w:sz w:val="32"/>
          </w:rPr>
          <w:t>www.cpva.lt</w:t>
        </w:r>
      </w:hyperlink>
    </w:p>
    <w:p w14:paraId="7040B793" w14:textId="77777777" w:rsidR="0038123C" w:rsidRDefault="0038123C" w:rsidP="0038123C">
      <w:pPr>
        <w:spacing w:before="960"/>
        <w:jc w:val="left"/>
        <w:rPr>
          <w:b/>
          <w:sz w:val="32"/>
          <w:szCs w:val="32"/>
        </w:rPr>
      </w:pPr>
      <w:r>
        <w:rPr>
          <w:b/>
          <w:sz w:val="32"/>
          <w:szCs w:val="32"/>
        </w:rPr>
        <w:t>Fellowships</w:t>
      </w:r>
      <w:bookmarkStart w:id="0" w:name="_Hlk131064453"/>
      <w:r>
        <w:t xml:space="preserve"> </w:t>
      </w:r>
      <w:r>
        <w:rPr>
          <w:b/>
          <w:sz w:val="32"/>
          <w:szCs w:val="32"/>
        </w:rPr>
        <w:t xml:space="preserve">to Belarusian lecturers, scientists, and PhD students </w:t>
      </w:r>
      <w:bookmarkEnd w:id="0"/>
      <w:r>
        <w:rPr>
          <w:b/>
          <w:sz w:val="32"/>
          <w:szCs w:val="32"/>
        </w:rPr>
        <w:t xml:space="preserve">at EU higher education and research institutions </w:t>
      </w:r>
    </w:p>
    <w:p w14:paraId="2D2348F9" w14:textId="72F3062C" w:rsidR="0038123C" w:rsidRPr="0038123C" w:rsidRDefault="0038123C" w:rsidP="0038123C">
      <w:pPr>
        <w:spacing w:before="960"/>
        <w:jc w:val="left"/>
        <w:rPr>
          <w:sz w:val="32"/>
        </w:rPr>
      </w:pPr>
      <w:r>
        <w:rPr>
          <w:b/>
          <w:sz w:val="32"/>
          <w:szCs w:val="32"/>
        </w:rPr>
        <w:t xml:space="preserve">“Support to Advanced Learning and Training (EU4Belarus - SALT)” </w:t>
      </w:r>
    </w:p>
    <w:p w14:paraId="7A7E4B9D" w14:textId="77777777" w:rsidR="0038123C" w:rsidRDefault="0038123C" w:rsidP="0038123C">
      <w:pPr>
        <w:pStyle w:val="Default"/>
      </w:pPr>
    </w:p>
    <w:p w14:paraId="5A27C32A" w14:textId="77777777" w:rsidR="0038123C" w:rsidRDefault="0038123C" w:rsidP="0038123C">
      <w:pPr>
        <w:pStyle w:val="SubTitle2"/>
        <w:rPr>
          <w:szCs w:val="32"/>
          <w:lang w:val="lt-LT"/>
        </w:rPr>
      </w:pPr>
      <w:r>
        <w:rPr>
          <w:szCs w:val="32"/>
        </w:rPr>
        <w:t>Reference: ENI/2021/423-841</w:t>
      </w:r>
    </w:p>
    <w:p w14:paraId="71DFCD52" w14:textId="3D79161E" w:rsidR="0038123C" w:rsidRDefault="0038123C" w:rsidP="0038123C">
      <w:pPr>
        <w:rPr>
          <w:snapToGrid w:val="0"/>
        </w:rPr>
      </w:pPr>
      <w:r>
        <w:rPr>
          <w:snapToGrid w:val="0"/>
        </w:rPr>
        <w:br/>
      </w:r>
    </w:p>
    <w:p w14:paraId="695260A0" w14:textId="77777777" w:rsidR="0038123C" w:rsidRDefault="0038123C">
      <w:pPr>
        <w:snapToGrid/>
        <w:spacing w:after="160" w:line="259" w:lineRule="auto"/>
        <w:jc w:val="left"/>
        <w:rPr>
          <w:snapToGrid w:val="0"/>
        </w:rPr>
      </w:pPr>
      <w:r>
        <w:rPr>
          <w:snapToGrid w:val="0"/>
        </w:rPr>
        <w:br w:type="page"/>
      </w:r>
    </w:p>
    <w:p w14:paraId="7B81CBEC" w14:textId="77777777" w:rsidR="0038123C" w:rsidRDefault="0038123C" w:rsidP="0038123C">
      <w:pPr>
        <w:rPr>
          <w:snapToGrid w:val="0"/>
        </w:rPr>
      </w:pPr>
    </w:p>
    <w:p w14:paraId="7A9D305D" w14:textId="77777777" w:rsidR="0038123C" w:rsidRDefault="0038123C" w:rsidP="0038123C">
      <w:pPr>
        <w:pStyle w:val="ListParagraph"/>
        <w:numPr>
          <w:ilvl w:val="0"/>
          <w:numId w:val="1"/>
        </w:numPr>
        <w:rPr>
          <w:b/>
          <w:bCs/>
          <w:snapToGrid w:val="0"/>
          <w:sz w:val="28"/>
          <w:szCs w:val="28"/>
        </w:rPr>
      </w:pPr>
      <w:r w:rsidRPr="0038123C">
        <w:rPr>
          <w:b/>
          <w:bCs/>
          <w:snapToGrid w:val="0"/>
          <w:sz w:val="28"/>
          <w:szCs w:val="28"/>
        </w:rPr>
        <w:t>Reason for change:</w:t>
      </w:r>
    </w:p>
    <w:p w14:paraId="3DA0FC52" w14:textId="1513294F" w:rsidR="00862937" w:rsidRPr="00AD5E2C" w:rsidRDefault="00862937" w:rsidP="00862937">
      <w:pPr>
        <w:pStyle w:val="ListParagraph"/>
        <w:rPr>
          <w:snapToGrid w:val="0"/>
          <w:sz w:val="24"/>
          <w:szCs w:val="24"/>
        </w:rPr>
      </w:pPr>
      <w:r w:rsidRPr="00AD5E2C">
        <w:rPr>
          <w:snapToGrid w:val="0"/>
          <w:sz w:val="24"/>
          <w:szCs w:val="24"/>
        </w:rPr>
        <w:t xml:space="preserve">The need for change arises from the fact that candidates residing in Belarus do not always have a possibility to open an account in any country in the EU if they had not have an extensive residence stay in the EU before. </w:t>
      </w:r>
    </w:p>
    <w:p w14:paraId="4FB9362B" w14:textId="14735783" w:rsidR="00862937" w:rsidRDefault="00862937" w:rsidP="00862937">
      <w:pPr>
        <w:pStyle w:val="ListParagraph"/>
        <w:rPr>
          <w:snapToGrid w:val="0"/>
          <w:sz w:val="24"/>
          <w:szCs w:val="24"/>
        </w:rPr>
      </w:pPr>
    </w:p>
    <w:p w14:paraId="30597107" w14:textId="0198A569" w:rsidR="00D97DB5" w:rsidRPr="00AD5E2C" w:rsidRDefault="00D97DB5" w:rsidP="00862937">
      <w:pPr>
        <w:pStyle w:val="ListParagraph"/>
        <w:rPr>
          <w:snapToGrid w:val="0"/>
          <w:sz w:val="24"/>
          <w:szCs w:val="24"/>
        </w:rPr>
      </w:pPr>
      <w:r>
        <w:rPr>
          <w:snapToGrid w:val="0"/>
          <w:sz w:val="24"/>
          <w:szCs w:val="24"/>
        </w:rPr>
        <w:t>P</w:t>
      </w:r>
      <w:r w:rsidRPr="00D97DB5">
        <w:rPr>
          <w:snapToGrid w:val="0"/>
          <w:sz w:val="24"/>
          <w:szCs w:val="24"/>
        </w:rPr>
        <w:t>ayments to accounts in Belarus are subject to the restrictive measures applied against Belarus therefore the candidates are not allowed to indicate the bank in Belarus for payments under these contracts</w:t>
      </w:r>
      <w:r>
        <w:rPr>
          <w:snapToGrid w:val="0"/>
          <w:sz w:val="24"/>
          <w:szCs w:val="24"/>
        </w:rPr>
        <w:t>.</w:t>
      </w:r>
    </w:p>
    <w:p w14:paraId="5E162D64" w14:textId="77777777" w:rsidR="00AD5E2C" w:rsidRPr="00AD5E2C" w:rsidRDefault="00AD5E2C" w:rsidP="00862937">
      <w:pPr>
        <w:pStyle w:val="ListParagraph"/>
        <w:rPr>
          <w:snapToGrid w:val="0"/>
          <w:sz w:val="24"/>
          <w:szCs w:val="24"/>
        </w:rPr>
      </w:pPr>
    </w:p>
    <w:p w14:paraId="6817C779" w14:textId="470EA8A4" w:rsidR="00AD5E2C" w:rsidRPr="00AD5E2C" w:rsidRDefault="00AD5E2C" w:rsidP="00862937">
      <w:pPr>
        <w:pStyle w:val="ListParagraph"/>
        <w:rPr>
          <w:snapToGrid w:val="0"/>
          <w:sz w:val="24"/>
          <w:szCs w:val="24"/>
        </w:rPr>
      </w:pPr>
      <w:r w:rsidRPr="00AD5E2C">
        <w:rPr>
          <w:snapToGrid w:val="0"/>
          <w:sz w:val="24"/>
          <w:szCs w:val="24"/>
        </w:rPr>
        <w:t>In order to allow scholars from Belarus to take part in the Fellowship competition, we mak</w:t>
      </w:r>
      <w:r w:rsidR="00B81FC0">
        <w:rPr>
          <w:snapToGrid w:val="0"/>
          <w:sz w:val="24"/>
          <w:szCs w:val="24"/>
        </w:rPr>
        <w:t>e</w:t>
      </w:r>
      <w:r w:rsidRPr="00AD5E2C">
        <w:rPr>
          <w:snapToGrid w:val="0"/>
          <w:sz w:val="24"/>
          <w:szCs w:val="24"/>
        </w:rPr>
        <w:t xml:space="preserve"> a special </w:t>
      </w:r>
      <w:r>
        <w:rPr>
          <w:snapToGrid w:val="0"/>
          <w:sz w:val="24"/>
          <w:szCs w:val="24"/>
        </w:rPr>
        <w:t>waiver of submitting the Financial Identification Form (FIF) at the time of applying for the Fellowships. This form will be submitted by the applicants at a later stage</w:t>
      </w:r>
      <w:r w:rsidR="00B81FC0">
        <w:rPr>
          <w:snapToGrid w:val="0"/>
          <w:sz w:val="24"/>
          <w:szCs w:val="24"/>
        </w:rPr>
        <w:t xml:space="preserve"> if the applicant is selected</w:t>
      </w:r>
      <w:r>
        <w:rPr>
          <w:snapToGrid w:val="0"/>
          <w:sz w:val="24"/>
          <w:szCs w:val="24"/>
        </w:rPr>
        <w:t>.</w:t>
      </w:r>
    </w:p>
    <w:p w14:paraId="10AA8FED" w14:textId="77777777" w:rsidR="00862937" w:rsidRPr="00862937" w:rsidRDefault="00862937" w:rsidP="00862937">
      <w:pPr>
        <w:pStyle w:val="ListParagraph"/>
        <w:rPr>
          <w:snapToGrid w:val="0"/>
          <w:sz w:val="28"/>
          <w:szCs w:val="28"/>
        </w:rPr>
      </w:pPr>
    </w:p>
    <w:p w14:paraId="44B5AAEF" w14:textId="3B2106CA" w:rsidR="0038123C" w:rsidRPr="0038123C" w:rsidRDefault="0038123C" w:rsidP="0038123C">
      <w:pPr>
        <w:pStyle w:val="ListParagraph"/>
        <w:numPr>
          <w:ilvl w:val="0"/>
          <w:numId w:val="1"/>
        </w:numPr>
        <w:rPr>
          <w:b/>
          <w:bCs/>
          <w:snapToGrid w:val="0"/>
          <w:sz w:val="28"/>
          <w:szCs w:val="28"/>
        </w:rPr>
      </w:pPr>
      <w:r w:rsidRPr="0038123C">
        <w:rPr>
          <w:b/>
          <w:bCs/>
          <w:snapToGrid w:val="0"/>
          <w:sz w:val="28"/>
          <w:szCs w:val="28"/>
        </w:rPr>
        <w:t xml:space="preserve">Text to be corrected in the original </w:t>
      </w:r>
      <w:r w:rsidRPr="0038123C">
        <w:rPr>
          <w:b/>
          <w:bCs/>
          <w:i/>
          <w:iCs/>
          <w:snapToGrid w:val="0"/>
          <w:sz w:val="28"/>
          <w:szCs w:val="28"/>
        </w:rPr>
        <w:t>Guidelines for applicants</w:t>
      </w:r>
      <w:r>
        <w:rPr>
          <w:b/>
          <w:bCs/>
          <w:snapToGrid w:val="0"/>
          <w:sz w:val="28"/>
          <w:szCs w:val="28"/>
        </w:rPr>
        <w:t>:</w:t>
      </w:r>
    </w:p>
    <w:p w14:paraId="4F7008A4" w14:textId="2343E619" w:rsidR="00CD610C" w:rsidRDefault="00AD5E2C" w:rsidP="00AD5E2C">
      <w:pPr>
        <w:rPr>
          <w:snapToGrid w:val="0"/>
          <w:sz w:val="24"/>
          <w:szCs w:val="24"/>
        </w:rPr>
      </w:pPr>
      <w:r>
        <w:rPr>
          <w:snapToGrid w:val="0"/>
          <w:sz w:val="24"/>
          <w:szCs w:val="24"/>
        </w:rPr>
        <w:t>Section</w:t>
      </w:r>
      <w:r w:rsidRPr="00AD5E2C">
        <w:rPr>
          <w:snapToGrid w:val="0"/>
          <w:sz w:val="24"/>
          <w:szCs w:val="24"/>
        </w:rPr>
        <w:t xml:space="preserve"> 2.2.1.</w:t>
      </w:r>
      <w:r w:rsidR="00CD610C">
        <w:rPr>
          <w:snapToGrid w:val="0"/>
          <w:sz w:val="24"/>
          <w:szCs w:val="24"/>
        </w:rPr>
        <w:t xml:space="preserve"> Application forms</w:t>
      </w:r>
      <w:r w:rsidR="003D5488">
        <w:rPr>
          <w:snapToGrid w:val="0"/>
          <w:sz w:val="24"/>
          <w:szCs w:val="24"/>
        </w:rPr>
        <w:t xml:space="preserve">, paragraph </w:t>
      </w:r>
      <w:r w:rsidR="003D5488">
        <w:rPr>
          <w:snapToGrid w:val="0"/>
          <w:sz w:val="24"/>
          <w:szCs w:val="24"/>
          <w:lang w:val="en-US"/>
        </w:rPr>
        <w:t>6 point 4</w:t>
      </w:r>
      <w:r w:rsidR="00CD610C">
        <w:rPr>
          <w:snapToGrid w:val="0"/>
          <w:sz w:val="24"/>
          <w:szCs w:val="24"/>
        </w:rPr>
        <w:t>;</w:t>
      </w:r>
    </w:p>
    <w:p w14:paraId="5CC2C86E" w14:textId="77777777" w:rsidR="00CD610C" w:rsidRDefault="00CD610C" w:rsidP="00CD610C">
      <w:pPr>
        <w:rPr>
          <w:snapToGrid w:val="0"/>
          <w:sz w:val="24"/>
          <w:szCs w:val="24"/>
        </w:rPr>
      </w:pPr>
      <w:r>
        <w:rPr>
          <w:snapToGrid w:val="0"/>
          <w:sz w:val="24"/>
          <w:szCs w:val="24"/>
        </w:rPr>
        <w:t>Instead of:</w:t>
      </w:r>
    </w:p>
    <w:p w14:paraId="6CCD998C" w14:textId="789CB312" w:rsidR="00CD610C" w:rsidRPr="00D97DB5" w:rsidRDefault="003D5488" w:rsidP="00D97DB5">
      <w:pPr>
        <w:rPr>
          <w:snapToGrid w:val="0"/>
          <w:sz w:val="24"/>
          <w:szCs w:val="24"/>
        </w:rPr>
      </w:pPr>
      <w:r>
        <w:rPr>
          <w:szCs w:val="22"/>
          <w:lang w:val="en-IE" w:eastAsia="fr-BE"/>
        </w:rPr>
        <w:t xml:space="preserve">4. </w:t>
      </w:r>
      <w:r w:rsidR="00CD610C" w:rsidRPr="00CD610C">
        <w:rPr>
          <w:szCs w:val="22"/>
          <w:lang w:val="en-IE" w:eastAsia="fr-BE"/>
        </w:rPr>
        <w:t>A financial identification form (FIF) attached as Annex IV of these guidelines, certified by the bank to which the payments will be made. This bank should be in the country where the applicant resides (in one of the eligible residence countries, outside Belarus).</w:t>
      </w:r>
    </w:p>
    <w:p w14:paraId="5435E6D1" w14:textId="77777777" w:rsidR="00CD610C" w:rsidRPr="00D97DB5" w:rsidRDefault="00CD610C" w:rsidP="00AD5E2C">
      <w:pPr>
        <w:rPr>
          <w:snapToGrid w:val="0"/>
          <w:sz w:val="24"/>
          <w:szCs w:val="24"/>
          <w:lang w:val="en-IE"/>
        </w:rPr>
      </w:pPr>
    </w:p>
    <w:p w14:paraId="12DFAC3A" w14:textId="0676DC4C" w:rsidR="00AD5E2C" w:rsidRPr="00AD5E2C" w:rsidRDefault="003D5488" w:rsidP="00AD5E2C">
      <w:pPr>
        <w:rPr>
          <w:snapToGrid w:val="0"/>
          <w:sz w:val="24"/>
          <w:szCs w:val="24"/>
        </w:rPr>
      </w:pPr>
      <w:r>
        <w:rPr>
          <w:snapToGrid w:val="0"/>
          <w:sz w:val="24"/>
          <w:szCs w:val="24"/>
        </w:rPr>
        <w:t>R</w:t>
      </w:r>
      <w:r w:rsidR="00AD5E2C" w:rsidRPr="00AD5E2C">
        <w:rPr>
          <w:snapToGrid w:val="0"/>
          <w:sz w:val="24"/>
          <w:szCs w:val="24"/>
        </w:rPr>
        <w:t>ead:</w:t>
      </w:r>
    </w:p>
    <w:p w14:paraId="6553984C" w14:textId="24C31CA7" w:rsidR="00AD5E2C" w:rsidRPr="00AD5E2C" w:rsidRDefault="00AD5E2C" w:rsidP="00AD5E2C">
      <w:pPr>
        <w:pStyle w:val="ListParagraph"/>
        <w:numPr>
          <w:ilvl w:val="0"/>
          <w:numId w:val="2"/>
        </w:numPr>
        <w:rPr>
          <w:b/>
          <w:bCs/>
          <w:snapToGrid w:val="0"/>
          <w:sz w:val="24"/>
          <w:szCs w:val="24"/>
        </w:rPr>
      </w:pPr>
      <w:r w:rsidRPr="00AD5E2C">
        <w:rPr>
          <w:snapToGrid w:val="0"/>
          <w:sz w:val="24"/>
          <w:szCs w:val="24"/>
        </w:rPr>
        <w:t>A financial identification form (FIF) attached as Annex IV of these guidelines, certified by the bank to which the payments will be made. This bank should be in the country where the applicant resides (in one of the eligible residence countries, outside Belarus).</w:t>
      </w:r>
      <w:r w:rsidRPr="00AD5E2C">
        <w:rPr>
          <w:sz w:val="24"/>
          <w:szCs w:val="24"/>
        </w:rPr>
        <w:t xml:space="preserve"> </w:t>
      </w:r>
      <w:r w:rsidRPr="00AD5E2C">
        <w:rPr>
          <w:b/>
          <w:bCs/>
          <w:snapToGrid w:val="0"/>
          <w:sz w:val="24"/>
          <w:szCs w:val="24"/>
        </w:rPr>
        <w:t>Special waiver on this requirement may be given to those residing in Belarus.</w:t>
      </w:r>
    </w:p>
    <w:p w14:paraId="22C19921" w14:textId="77777777" w:rsidR="002F7D2A" w:rsidRDefault="002F7D2A">
      <w:pPr>
        <w:rPr>
          <w:snapToGrid w:val="0"/>
        </w:rPr>
      </w:pPr>
    </w:p>
    <w:p w14:paraId="3C9C43C9" w14:textId="08C90496" w:rsidR="0038123C" w:rsidRPr="00AD5E2C" w:rsidRDefault="002F7D2A">
      <w:pPr>
        <w:rPr>
          <w:snapToGrid w:val="0"/>
        </w:rPr>
      </w:pPr>
      <w:r w:rsidRPr="002F7D2A">
        <w:rPr>
          <w:snapToGrid w:val="0"/>
        </w:rPr>
        <w:t>All other terms and conditions of the original Guidelines for grant applicants remain unchanged. The above alterations and/or corrections to the original Guidelines for grant applicants are integral part of the Guidelines for grant applicants.</w:t>
      </w:r>
    </w:p>
    <w:sectPr w:rsidR="0038123C" w:rsidRPr="00AD5E2C" w:rsidSect="0038123C">
      <w:pgSz w:w="11906" w:h="16838"/>
      <w:pgMar w:top="1701"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CC18C7"/>
    <w:multiLevelType w:val="hybridMultilevel"/>
    <w:tmpl w:val="73D89222"/>
    <w:lvl w:ilvl="0" w:tplc="A93CF0A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6B61F6B"/>
    <w:multiLevelType w:val="hybridMultilevel"/>
    <w:tmpl w:val="B38CA4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10446036">
    <w:abstractNumId w:val="2"/>
  </w:num>
  <w:num w:numId="2" w16cid:durableId="1519153538">
    <w:abstractNumId w:val="1"/>
  </w:num>
  <w:num w:numId="3" w16cid:durableId="865019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3C"/>
    <w:rsid w:val="0022788F"/>
    <w:rsid w:val="00252C43"/>
    <w:rsid w:val="002F7D2A"/>
    <w:rsid w:val="0038123C"/>
    <w:rsid w:val="003D5488"/>
    <w:rsid w:val="004114BA"/>
    <w:rsid w:val="00484603"/>
    <w:rsid w:val="00862937"/>
    <w:rsid w:val="0090415B"/>
    <w:rsid w:val="00941EF0"/>
    <w:rsid w:val="00AD5E2C"/>
    <w:rsid w:val="00B81FC0"/>
    <w:rsid w:val="00C76596"/>
    <w:rsid w:val="00CD610C"/>
    <w:rsid w:val="00D97DB5"/>
    <w:rsid w:val="00DB5352"/>
    <w:rsid w:val="00EE7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841E"/>
  <w15:chartTrackingRefBased/>
  <w15:docId w15:val="{BD776E57-10E4-4836-8D53-28E7725A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3C"/>
    <w:pPr>
      <w:snapToGrid w:val="0"/>
      <w:spacing w:after="200" w:line="240" w:lineRule="auto"/>
      <w:jc w:val="both"/>
    </w:pPr>
    <w:rPr>
      <w:rFonts w:ascii="Times New Roman" w:eastAsia="Times New Roman" w:hAnsi="Times New Roman" w:cs="Times New Roman"/>
      <w:kern w:val="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123C"/>
    <w:rPr>
      <w:color w:val="0000FF"/>
      <w:u w:val="single"/>
    </w:rPr>
  </w:style>
  <w:style w:type="paragraph" w:customStyle="1" w:styleId="SubTitle1">
    <w:name w:val="SubTitle 1"/>
    <w:basedOn w:val="Normal"/>
    <w:next w:val="SubTitle2"/>
    <w:rsid w:val="0038123C"/>
    <w:pPr>
      <w:spacing w:after="240"/>
      <w:jc w:val="center"/>
    </w:pPr>
    <w:rPr>
      <w:b/>
      <w:sz w:val="40"/>
    </w:rPr>
  </w:style>
  <w:style w:type="paragraph" w:styleId="Title">
    <w:name w:val="Title"/>
    <w:basedOn w:val="Normal"/>
    <w:next w:val="SubTitle1"/>
    <w:link w:val="TitleChar"/>
    <w:qFormat/>
    <w:rsid w:val="0038123C"/>
    <w:pPr>
      <w:spacing w:after="480"/>
      <w:jc w:val="center"/>
    </w:pPr>
    <w:rPr>
      <w:b/>
      <w:sz w:val="48"/>
    </w:rPr>
  </w:style>
  <w:style w:type="character" w:customStyle="1" w:styleId="TitleChar">
    <w:name w:val="Title Char"/>
    <w:basedOn w:val="DefaultParagraphFont"/>
    <w:link w:val="Title"/>
    <w:rsid w:val="0038123C"/>
    <w:rPr>
      <w:rFonts w:ascii="Times New Roman" w:eastAsia="Times New Roman" w:hAnsi="Times New Roman" w:cs="Times New Roman"/>
      <w:b/>
      <w:kern w:val="0"/>
      <w:sz w:val="48"/>
      <w:szCs w:val="20"/>
      <w:lang w:val="en-GB"/>
      <w14:ligatures w14:val="none"/>
    </w:rPr>
  </w:style>
  <w:style w:type="paragraph" w:customStyle="1" w:styleId="SubTitle2">
    <w:name w:val="SubTitle 2"/>
    <w:basedOn w:val="Normal"/>
    <w:rsid w:val="0038123C"/>
    <w:pPr>
      <w:spacing w:after="240"/>
      <w:jc w:val="center"/>
    </w:pPr>
    <w:rPr>
      <w:b/>
      <w:sz w:val="32"/>
    </w:rPr>
  </w:style>
  <w:style w:type="paragraph" w:customStyle="1" w:styleId="Default">
    <w:name w:val="Default"/>
    <w:rsid w:val="0038123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38123C"/>
    <w:rPr>
      <w:color w:val="605E5C"/>
      <w:shd w:val="clear" w:color="auto" w:fill="E1DFDD"/>
    </w:rPr>
  </w:style>
  <w:style w:type="paragraph" w:styleId="ListParagraph">
    <w:name w:val="List Paragraph"/>
    <w:basedOn w:val="Normal"/>
    <w:uiPriority w:val="34"/>
    <w:qFormat/>
    <w:rsid w:val="0038123C"/>
    <w:pPr>
      <w:ind w:left="720"/>
      <w:contextualSpacing/>
    </w:pPr>
  </w:style>
  <w:style w:type="paragraph" w:styleId="Revision">
    <w:name w:val="Revision"/>
    <w:hidden/>
    <w:uiPriority w:val="99"/>
    <w:semiHidden/>
    <w:rsid w:val="004114BA"/>
    <w:pPr>
      <w:spacing w:after="0" w:line="240" w:lineRule="auto"/>
    </w:pPr>
    <w:rPr>
      <w:rFonts w:ascii="Times New Roman" w:eastAsia="Times New Roman" w:hAnsi="Times New Roman" w:cs="Times New Roman"/>
      <w:kern w:val="0"/>
      <w:szCs w:val="20"/>
      <w:lang w:val="en-GB"/>
      <w14:ligatures w14:val="none"/>
    </w:rPr>
  </w:style>
  <w:style w:type="character" w:styleId="CommentReference">
    <w:name w:val="annotation reference"/>
    <w:basedOn w:val="DefaultParagraphFont"/>
    <w:uiPriority w:val="99"/>
    <w:semiHidden/>
    <w:unhideWhenUsed/>
    <w:rsid w:val="0090415B"/>
    <w:rPr>
      <w:sz w:val="16"/>
      <w:szCs w:val="16"/>
    </w:rPr>
  </w:style>
  <w:style w:type="paragraph" w:styleId="CommentText">
    <w:name w:val="annotation text"/>
    <w:basedOn w:val="Normal"/>
    <w:link w:val="CommentTextChar"/>
    <w:uiPriority w:val="99"/>
    <w:semiHidden/>
    <w:unhideWhenUsed/>
    <w:rsid w:val="0090415B"/>
    <w:rPr>
      <w:sz w:val="20"/>
    </w:rPr>
  </w:style>
  <w:style w:type="character" w:customStyle="1" w:styleId="CommentTextChar">
    <w:name w:val="Comment Text Char"/>
    <w:basedOn w:val="DefaultParagraphFont"/>
    <w:link w:val="CommentText"/>
    <w:uiPriority w:val="99"/>
    <w:semiHidden/>
    <w:rsid w:val="0090415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0415B"/>
    <w:rPr>
      <w:b/>
      <w:bCs/>
    </w:rPr>
  </w:style>
  <w:style w:type="character" w:customStyle="1" w:styleId="CommentSubjectChar">
    <w:name w:val="Comment Subject Char"/>
    <w:basedOn w:val="CommentTextChar"/>
    <w:link w:val="CommentSubject"/>
    <w:uiPriority w:val="99"/>
    <w:semiHidden/>
    <w:rsid w:val="0090415B"/>
    <w:rPr>
      <w:rFonts w:ascii="Times New Roman" w:eastAsia="Times New Roma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pva.l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 xsi:nil="true"/>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53FA1-6C24-4950-96CA-5A90EB738C8B}">
  <ds:schemaRefs>
    <ds:schemaRef ds:uri="http://purl.org/dc/terms/"/>
    <ds:schemaRef ds:uri="4b2e9d09-07c5-42d4-ad0a-92e216c40b99"/>
    <ds:schemaRef ds:uri="http://purl.org/dc/elements/1.1/"/>
    <ds:schemaRef ds:uri="http://schemas.microsoft.com/office/infopath/2007/PartnerControls"/>
    <ds:schemaRef ds:uri="http://purl.org/dc/dcmitype/"/>
    <ds:schemaRef ds:uri="http://schemas.microsoft.com/office/2006/metadata/properties"/>
    <ds:schemaRef ds:uri="a843bbba-5665-4b5f-aacc-cdcb1c804839"/>
    <ds:schemaRef ds:uri="028236e2-f653-4d19-ab67-4d06a9145e0c"/>
    <ds:schemaRef ds:uri="http://schemas.microsoft.com/office/2006/documentManagement/types"/>
    <ds:schemaRef ds:uri="http://schemas.openxmlformats.org/package/2006/metadata/core-properties"/>
    <ds:schemaRef ds:uri="f5ebda27-b626-448f-a7d1-d1cf5ad133fa"/>
    <ds:schemaRef ds:uri="http://www.w3.org/XML/1998/namespace"/>
  </ds:schemaRefs>
</ds:datastoreItem>
</file>

<file path=customXml/itemProps2.xml><?xml version="1.0" encoding="utf-8"?>
<ds:datastoreItem xmlns:ds="http://schemas.openxmlformats.org/officeDocument/2006/customXml" ds:itemID="{05E4B13B-17AF-4C46-8C84-0C8637B980D6}">
  <ds:schemaRefs>
    <ds:schemaRef ds:uri="http://schemas.microsoft.com/sharepoint/v3/contenttype/forms"/>
  </ds:schemaRefs>
</ds:datastoreItem>
</file>

<file path=customXml/itemProps3.xml><?xml version="1.0" encoding="utf-8"?>
<ds:datastoreItem xmlns:ds="http://schemas.openxmlformats.org/officeDocument/2006/customXml" ds:itemID="{5628B140-7E53-4E0E-A363-1AE3FDA6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CORRIGENDUM_Fellowships</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CORRIGENDUM_Fellowships</dc:title>
  <dc:subject/>
  <dc:creator>Audronė Uzielienė</dc:creator>
  <cp:keywords/>
  <dc:description/>
  <cp:lastModifiedBy>Audronė Uzielienė</cp:lastModifiedBy>
  <cp:revision>2</cp:revision>
  <dcterms:created xsi:type="dcterms:W3CDTF">2023-06-12T08:11:00Z</dcterms:created>
  <dcterms:modified xsi:type="dcterms:W3CDTF">2023-06-12T08:11:00Z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1174;#Audronė Uzielienė;#255;#Deimantė Vaičiūnė;#307;#Viktorija Leskauskienė;#39;#Arilda Sipavičė</vt:lpwstr>
  </property>
  <property fmtid="{D5CDD505-2E9C-101B-9397-08002B2CF9AE}" pid="5" name="DmsPermissionsConfid">
    <vt:bool>true</vt:bool>
  </property>
  <property fmtid="{D5CDD505-2E9C-101B-9397-08002B2CF9AE}" pid="6" name="DmsPermissionsDivisions">
    <vt:lpwstr/>
  </property>
  <property fmtid="{D5CDD505-2E9C-101B-9397-08002B2CF9AE}" pid="7" name="TaxCatchAll">
    <vt:lpwstr/>
  </property>
</Properties>
</file>