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28" w:rsidRPr="0038243F" w:rsidRDefault="00376A28" w:rsidP="0040431B">
      <w:pPr>
        <w:ind w:left="0"/>
        <w:rPr>
          <w:rFonts w:cs="Arial"/>
          <w:lang w:val="en-US"/>
        </w:rPr>
      </w:pPr>
    </w:p>
    <w:p w:rsidR="00376A28" w:rsidRPr="0038243F" w:rsidRDefault="00376A28" w:rsidP="0040431B">
      <w:pPr>
        <w:ind w:left="0"/>
        <w:rPr>
          <w:rFonts w:cs="Arial"/>
          <w:lang w:val="bg-BG"/>
        </w:rPr>
      </w:pPr>
    </w:p>
    <w:p w:rsidR="00376A28" w:rsidRPr="0038243F" w:rsidRDefault="00376A28" w:rsidP="0040431B">
      <w:pPr>
        <w:ind w:left="0"/>
        <w:rPr>
          <w:rFonts w:cs="Arial"/>
        </w:rPr>
      </w:pPr>
    </w:p>
    <w:p w:rsidR="00376A28" w:rsidRPr="0038243F" w:rsidRDefault="00376A28" w:rsidP="0040431B">
      <w:pPr>
        <w:ind w:left="0"/>
        <w:rPr>
          <w:rFonts w:cs="Arial"/>
        </w:rPr>
      </w:pPr>
    </w:p>
    <w:p w:rsidR="00376A28" w:rsidRPr="0038243F" w:rsidRDefault="00376A28" w:rsidP="0040431B">
      <w:pPr>
        <w:ind w:left="0"/>
        <w:rPr>
          <w:rFonts w:cs="Arial"/>
        </w:rPr>
      </w:pPr>
    </w:p>
    <w:p w:rsidR="00376A28" w:rsidRPr="0038243F" w:rsidRDefault="00E74D2D" w:rsidP="0040431B">
      <w:pPr>
        <w:ind w:left="0"/>
        <w:jc w:val="center"/>
        <w:rPr>
          <w:rFonts w:cs="Arial"/>
          <w:b/>
        </w:rPr>
      </w:pPr>
      <w:r w:rsidRPr="0038243F">
        <w:rPr>
          <w:rStyle w:val="Rykinuoroda"/>
          <w:rFonts w:cs="Arial"/>
          <w:b w:val="0"/>
          <w:i/>
          <w:sz w:val="50"/>
          <w:szCs w:val="50"/>
        </w:rPr>
        <w:t xml:space="preserve">STRATEGIC REPORT </w:t>
      </w:r>
      <w:r w:rsidRPr="0038243F">
        <w:rPr>
          <w:rStyle w:val="Rykinuoroda"/>
          <w:rFonts w:cs="Arial"/>
          <w:b w:val="0"/>
          <w:i/>
          <w:sz w:val="50"/>
          <w:szCs w:val="50"/>
        </w:rPr>
        <w:br/>
      </w:r>
      <w:r>
        <w:rPr>
          <w:rStyle w:val="Rykinuoroda"/>
          <w:rFonts w:cs="Arial"/>
          <w:b w:val="0"/>
          <w:i/>
          <w:sz w:val="50"/>
          <w:szCs w:val="50"/>
        </w:rPr>
        <w:t>FM14-21</w:t>
      </w:r>
    </w:p>
    <w:p w:rsidR="00376A28" w:rsidRPr="0038243F" w:rsidRDefault="00376A28" w:rsidP="0040431B">
      <w:pPr>
        <w:ind w:left="0"/>
        <w:rPr>
          <w:rFonts w:cs="Arial"/>
        </w:rPr>
      </w:pPr>
    </w:p>
    <w:p w:rsidR="00376A28" w:rsidRPr="0038243F" w:rsidRDefault="00376A28" w:rsidP="0040431B">
      <w:pPr>
        <w:ind w:left="0"/>
        <w:rPr>
          <w:rFonts w:cs="Arial"/>
        </w:rPr>
      </w:pPr>
    </w:p>
    <w:p w:rsidR="00376A28" w:rsidRPr="0038243F" w:rsidRDefault="00E74D2D" w:rsidP="0040431B">
      <w:pPr>
        <w:ind w:left="0"/>
        <w:jc w:val="center"/>
        <w:rPr>
          <w:rFonts w:cs="Arial"/>
          <w:sz w:val="28"/>
          <w:szCs w:val="28"/>
        </w:rPr>
      </w:pPr>
      <w:r w:rsidRPr="0038243F">
        <w:rPr>
          <w:rFonts w:cs="Arial"/>
          <w:sz w:val="28"/>
          <w:szCs w:val="28"/>
        </w:rPr>
        <w:t>Lithuania</w:t>
      </w:r>
    </w:p>
    <w:p w:rsidR="00376A28" w:rsidRPr="0038243F" w:rsidRDefault="00376A28" w:rsidP="0040431B">
      <w:pPr>
        <w:ind w:left="0"/>
        <w:jc w:val="center"/>
        <w:rPr>
          <w:rFonts w:cs="Arial"/>
          <w:sz w:val="28"/>
          <w:szCs w:val="28"/>
        </w:rPr>
      </w:pPr>
    </w:p>
    <w:p w:rsidR="006F7128" w:rsidRPr="0038243F" w:rsidRDefault="00E74D2D" w:rsidP="0040431B">
      <w:pPr>
        <w:ind w:left="0"/>
        <w:jc w:val="center"/>
        <w:rPr>
          <w:rFonts w:cs="Arial"/>
          <w:sz w:val="28"/>
          <w:szCs w:val="28"/>
        </w:rPr>
      </w:pPr>
      <w:r w:rsidRPr="0038243F">
        <w:rPr>
          <w:rFonts w:cs="Arial"/>
          <w:sz w:val="28"/>
          <w:szCs w:val="28"/>
        </w:rPr>
        <w:t>Reporting period:</w:t>
      </w:r>
    </w:p>
    <w:p w:rsidR="006F7128" w:rsidRPr="0038243F" w:rsidRDefault="00E74D2D" w:rsidP="006F7128">
      <w:pPr>
        <w:ind w:left="0"/>
        <w:jc w:val="center"/>
        <w:rPr>
          <w:rFonts w:cs="Arial"/>
          <w:sz w:val="28"/>
          <w:szCs w:val="28"/>
        </w:rPr>
      </w:pPr>
      <w:r w:rsidRPr="0038243F">
        <w:rPr>
          <w:rFonts w:cs="Arial"/>
          <w:sz w:val="28"/>
          <w:szCs w:val="28"/>
        </w:rPr>
        <w:t>20 March 2022 - 20 March 2023</w:t>
      </w:r>
    </w:p>
    <w:p w:rsidR="00376A28" w:rsidRPr="0038243F" w:rsidRDefault="00376A28" w:rsidP="0040431B">
      <w:pPr>
        <w:ind w:left="0"/>
        <w:jc w:val="center"/>
        <w:rPr>
          <w:rFonts w:cs="Arial"/>
          <w:sz w:val="28"/>
          <w:szCs w:val="28"/>
        </w:rPr>
      </w:pPr>
    </w:p>
    <w:p w:rsidR="00376A28" w:rsidRPr="0038243F" w:rsidRDefault="00376A28" w:rsidP="0040431B">
      <w:pPr>
        <w:ind w:left="0"/>
        <w:jc w:val="center"/>
        <w:rPr>
          <w:rFonts w:cs="Arial"/>
          <w:sz w:val="28"/>
          <w:szCs w:val="28"/>
        </w:rPr>
      </w:pPr>
    </w:p>
    <w:p w:rsidR="001B0817" w:rsidRPr="0038243F" w:rsidRDefault="001B0817">
      <w:pPr>
        <w:rPr>
          <w:rFonts w:cs="Arial"/>
        </w:rPr>
      </w:pPr>
    </w:p>
    <w:p w:rsidR="001D509F" w:rsidRPr="0038243F" w:rsidRDefault="00E74D2D">
      <w:pPr>
        <w:rPr>
          <w:rFonts w:cs="Arial"/>
          <w:sz w:val="28"/>
          <w:szCs w:val="28"/>
        </w:rPr>
      </w:pPr>
      <w:r w:rsidRPr="0038243F">
        <w:rPr>
          <w:rFonts w:cs="Arial"/>
          <w:sz w:val="28"/>
          <w:szCs w:val="28"/>
        </w:rPr>
        <w:br w:type="page"/>
      </w:r>
    </w:p>
    <w:sdt>
      <w:sdtPr>
        <w:rPr>
          <w:rFonts w:ascii="Arial" w:eastAsiaTheme="minorHAnsi" w:hAnsi="Arial" w:cs="Arial"/>
          <w:color w:val="auto"/>
          <w:sz w:val="22"/>
          <w:szCs w:val="22"/>
          <w:lang w:val="en-GB"/>
        </w:rPr>
        <w:id w:val="979954860"/>
        <w:docPartObj>
          <w:docPartGallery w:val="Table of Contents"/>
          <w:docPartUnique/>
        </w:docPartObj>
      </w:sdtPr>
      <w:sdtEndPr>
        <w:rPr>
          <w:b/>
          <w:bCs/>
          <w:noProof/>
          <w:sz w:val="20"/>
        </w:rPr>
      </w:sdtEndPr>
      <w:sdtContent>
        <w:p w:rsidR="001D509F" w:rsidRPr="0038243F" w:rsidRDefault="00E74D2D" w:rsidP="001D509F">
          <w:pPr>
            <w:pStyle w:val="Turinioantrat"/>
            <w:rPr>
              <w:rFonts w:ascii="Arial" w:hAnsi="Arial" w:cs="Arial"/>
            </w:rPr>
          </w:pPr>
          <w:r w:rsidRPr="0038243F">
            <w:rPr>
              <w:rFonts w:ascii="Arial" w:hAnsi="Arial" w:cs="Arial"/>
            </w:rPr>
            <w:t>Contents</w:t>
          </w:r>
        </w:p>
        <w:p w:rsidR="00A37E99" w:rsidRDefault="00E74D2D">
          <w:pPr>
            <w:pStyle w:val="Turinys1"/>
            <w:tabs>
              <w:tab w:val="left" w:pos="440"/>
              <w:tab w:val="right" w:leader="dot" w:pos="9062"/>
            </w:tabs>
            <w:rPr>
              <w:rFonts w:asciiTheme="minorHAnsi" w:hAnsiTheme="minorHAnsi"/>
              <w:noProof/>
              <w:sz w:val="22"/>
            </w:rPr>
          </w:pPr>
          <w:r w:rsidRPr="0038243F">
            <w:rPr>
              <w:rFonts w:cs="Arial"/>
              <w:b/>
              <w:bCs/>
              <w:noProof/>
            </w:rPr>
            <w:fldChar w:fldCharType="begin"/>
          </w:r>
          <w:r w:rsidRPr="0038243F">
            <w:rPr>
              <w:rFonts w:cs="Arial"/>
              <w:b/>
              <w:bCs/>
              <w:noProof/>
            </w:rPr>
            <w:instrText>TOC \o "1-3" \h \z</w:instrText>
          </w:r>
          <w:r w:rsidRPr="0038243F">
            <w:rPr>
              <w:rFonts w:cs="Arial"/>
              <w:b/>
              <w:bCs/>
              <w:noProof/>
            </w:rPr>
            <w:fldChar w:fldCharType="separate"/>
          </w:r>
          <w:hyperlink w:anchor="_Toc256000000" w:history="1">
            <w:r>
              <w:rPr>
                <w:rStyle w:val="Hipersaitas"/>
                <w:rFonts w:cs="Arial"/>
              </w:rPr>
              <w:t>1</w:t>
            </w:r>
            <w:r w:rsidRPr="0004386F">
              <w:rPr>
                <w:rStyle w:val="Hipersaitas"/>
                <w:rFonts w:cs="Arial"/>
              </w:rPr>
              <w:t>.</w:t>
            </w:r>
            <w:r w:rsidRPr="0004386F">
              <w:rPr>
                <w:rFonts w:asciiTheme="minorHAnsi" w:hAnsiTheme="minorHAnsi" w:cs="Arial"/>
                <w:noProof/>
                <w:sz w:val="22"/>
              </w:rPr>
              <w:tab/>
            </w:r>
            <w:r w:rsidR="00C85F62">
              <w:rPr>
                <w:rStyle w:val="Hipersaitas"/>
                <w:rFonts w:cs="Arial"/>
              </w:rPr>
              <w:t>Executive summary</w:t>
            </w:r>
            <w:r>
              <w:tab/>
            </w:r>
            <w:r>
              <w:fldChar w:fldCharType="begin"/>
            </w:r>
            <w:r>
              <w:instrText xml:space="preserve"> PAGEREF _Toc256000000 \h </w:instrText>
            </w:r>
            <w:r>
              <w:fldChar w:fldCharType="separate"/>
            </w:r>
            <w:r>
              <w:t>3</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01" w:history="1">
            <w:r w:rsidRPr="0004386F">
              <w:rPr>
                <w:rStyle w:val="Hipersaitas"/>
                <w:rFonts w:cs="Arial"/>
              </w:rPr>
              <w:t>2.</w:t>
            </w:r>
            <w:r w:rsidRPr="0004386F">
              <w:rPr>
                <w:rFonts w:asciiTheme="minorHAnsi" w:hAnsiTheme="minorHAnsi" w:cs="Arial"/>
                <w:noProof/>
                <w:sz w:val="22"/>
              </w:rPr>
              <w:tab/>
            </w:r>
            <w:r w:rsidR="00F46AF1" w:rsidRPr="0004386F">
              <w:rPr>
                <w:rStyle w:val="Hipersaitas"/>
                <w:rFonts w:cs="Arial"/>
              </w:rPr>
              <w:t>Country Developments and effects of the Grants</w:t>
            </w:r>
            <w:r>
              <w:tab/>
            </w:r>
            <w:r>
              <w:fldChar w:fldCharType="begin"/>
            </w:r>
            <w:r>
              <w:instrText xml:space="preserve"> PAGEREF _Toc256000001 \h </w:instrText>
            </w:r>
            <w:r>
              <w:fldChar w:fldCharType="separate"/>
            </w:r>
            <w:r>
              <w:t>4</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02" w:history="1">
            <w:r w:rsidRPr="0004386F">
              <w:rPr>
                <w:rStyle w:val="Hipersaitas"/>
                <w:rFonts w:cs="Arial"/>
              </w:rPr>
              <w:t>3.</w:t>
            </w:r>
            <w:r w:rsidRPr="0004386F">
              <w:rPr>
                <w:rFonts w:asciiTheme="minorHAnsi" w:hAnsiTheme="minorHAnsi" w:cs="Arial"/>
                <w:noProof/>
                <w:sz w:val="22"/>
              </w:rPr>
              <w:tab/>
            </w:r>
            <w:r w:rsidR="00A17BC5" w:rsidRPr="0004386F">
              <w:rPr>
                <w:rStyle w:val="Hipersaitas"/>
                <w:rFonts w:cs="Arial"/>
              </w:rPr>
              <w:t>Status of programmes</w:t>
            </w:r>
            <w:r>
              <w:tab/>
            </w:r>
            <w:r>
              <w:fldChar w:fldCharType="begin"/>
            </w:r>
            <w:r>
              <w:instrText xml:space="preserve"> PAGEREF _Toc256000002 \h </w:instrText>
            </w:r>
            <w:r>
              <w:fldChar w:fldCharType="separate"/>
            </w:r>
            <w:r>
              <w:t>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3" w:history="1">
            <w:r>
              <w:rPr>
                <w:rStyle w:val="Hipersaitas"/>
              </w:rPr>
              <w:t>GENERAL</w:t>
            </w:r>
            <w:r>
              <w:tab/>
            </w:r>
            <w:r>
              <w:fldChar w:fldCharType="begin"/>
            </w:r>
            <w:r>
              <w:instrText xml:space="preserve"> PAGEREF _Toc256000003 \h </w:instrText>
            </w:r>
            <w:r>
              <w:fldChar w:fldCharType="separate"/>
            </w:r>
            <w:r>
              <w:t>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4" w:history="1">
            <w:r>
              <w:rPr>
                <w:rStyle w:val="Hipersaitas"/>
              </w:rPr>
              <w:t>LT-JUSTICE Justice and Home Affairs</w:t>
            </w:r>
            <w:r>
              <w:tab/>
            </w:r>
            <w:r>
              <w:fldChar w:fldCharType="begin"/>
            </w:r>
            <w:r>
              <w:instrText xml:space="preserve"> PAGEREF _Toc256000004 \h </w:instrText>
            </w:r>
            <w:r>
              <w:fldChar w:fldCharType="separate"/>
            </w:r>
            <w:r>
              <w:t>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6" w:history="1">
            <w:r>
              <w:rPr>
                <w:rStyle w:val="Hipersaitas"/>
              </w:rPr>
              <w:t>LT-INNOVATION Business Development, Inno</w:t>
            </w:r>
            <w:r>
              <w:rPr>
                <w:rStyle w:val="Hipersaitas"/>
              </w:rPr>
              <w:t>vation and SMEs</w:t>
            </w:r>
            <w:r>
              <w:tab/>
            </w:r>
            <w:r>
              <w:fldChar w:fldCharType="begin"/>
            </w:r>
            <w:r>
              <w:instrText xml:space="preserve"> PAGEREF _Toc256000006 \h </w:instrText>
            </w:r>
            <w:r>
              <w:fldChar w:fldCharType="separate"/>
            </w:r>
            <w:r>
              <w:t>11</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7" w:history="1">
            <w:r>
              <w:rPr>
                <w:rStyle w:val="Hipersaitas"/>
              </w:rPr>
              <w:t>LT-ENVIRONMENT Environment, Energy, Climate Change</w:t>
            </w:r>
            <w:r>
              <w:tab/>
            </w:r>
            <w:r>
              <w:fldChar w:fldCharType="begin"/>
            </w:r>
            <w:r>
              <w:instrText xml:space="preserve"> PAGEREF _Toc256000007 \h </w:instrText>
            </w:r>
            <w:r>
              <w:fldChar w:fldCharType="separate"/>
            </w:r>
            <w:r>
              <w:t>13</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8" w:history="1">
            <w:r>
              <w:rPr>
                <w:rStyle w:val="Hipersaitas"/>
              </w:rPr>
              <w:t>LT-RESEARCH Research</w:t>
            </w:r>
            <w:r>
              <w:tab/>
            </w:r>
            <w:r>
              <w:fldChar w:fldCharType="begin"/>
            </w:r>
            <w:r>
              <w:instrText xml:space="preserve"> PAGEREF _Toc256000008 \h </w:instrText>
            </w:r>
            <w:r>
              <w:fldChar w:fldCharType="separate"/>
            </w:r>
            <w:r>
              <w:t>15</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09" w:history="1">
            <w:r>
              <w:rPr>
                <w:rStyle w:val="Hipersaitas"/>
              </w:rPr>
              <w:t>LT-HEALT</w:t>
            </w:r>
            <w:r>
              <w:rPr>
                <w:rStyle w:val="Hipersaitas"/>
              </w:rPr>
              <w:t>H Health</w:t>
            </w:r>
            <w:r>
              <w:tab/>
            </w:r>
            <w:r>
              <w:fldChar w:fldCharType="begin"/>
            </w:r>
            <w:r>
              <w:instrText xml:space="preserve"> PAGEREF _Toc256000009 \h </w:instrText>
            </w:r>
            <w:r>
              <w:fldChar w:fldCharType="separate"/>
            </w:r>
            <w:r>
              <w:t>17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0" w:history="1">
            <w:r>
              <w:rPr>
                <w:rStyle w:val="Hipersaitas"/>
              </w:rPr>
              <w:t>LT-CULTURE Culture</w:t>
            </w:r>
            <w:r>
              <w:tab/>
            </w:r>
            <w:r>
              <w:fldChar w:fldCharType="begin"/>
            </w:r>
            <w:r>
              <w:instrText xml:space="preserve"> PAGEREF _Toc256000010 \h </w:instrText>
            </w:r>
            <w:r>
              <w:fldChar w:fldCharType="separate"/>
            </w:r>
            <w:r>
              <w:t>18</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11" w:history="1">
            <w:r w:rsidRPr="0004386F">
              <w:rPr>
                <w:rStyle w:val="Hipersaitas"/>
                <w:rFonts w:cs="Arial"/>
              </w:rPr>
              <w:t>4.</w:t>
            </w:r>
            <w:r w:rsidRPr="0004386F">
              <w:rPr>
                <w:rFonts w:asciiTheme="minorHAnsi" w:hAnsiTheme="minorHAnsi" w:cs="Arial"/>
                <w:noProof/>
                <w:sz w:val="22"/>
              </w:rPr>
              <w:tab/>
            </w:r>
            <w:r w:rsidR="00BF2EFE" w:rsidRPr="0004386F">
              <w:rPr>
                <w:rStyle w:val="Hipersaitas"/>
                <w:rFonts w:cs="Arial"/>
              </w:rPr>
              <w:t>Status of bilateral funds</w:t>
            </w:r>
            <w:r>
              <w:tab/>
            </w:r>
            <w:r>
              <w:fldChar w:fldCharType="begin"/>
            </w:r>
            <w:r>
              <w:instrText xml:space="preserve"> PAGEREF _Toc256000011 \h </w:instrText>
            </w:r>
            <w:r>
              <w:fldChar w:fldCharType="separate"/>
            </w:r>
            <w:r>
              <w:t>20</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12" w:history="1">
            <w:r w:rsidRPr="0004386F">
              <w:rPr>
                <w:rStyle w:val="Hipersaitas"/>
                <w:rFonts w:cs="Arial"/>
              </w:rPr>
              <w:t>5.</w:t>
            </w:r>
            <w:r w:rsidRPr="0004386F">
              <w:rPr>
                <w:rFonts w:asciiTheme="minorHAnsi" w:hAnsiTheme="minorHAnsi" w:cs="Arial"/>
                <w:noProof/>
                <w:sz w:val="22"/>
              </w:rPr>
              <w:tab/>
            </w:r>
            <w:r w:rsidR="00804D56" w:rsidRPr="0004386F">
              <w:rPr>
                <w:rStyle w:val="Hipersaitas"/>
                <w:rFonts w:cs="Arial"/>
              </w:rPr>
              <w:t>Management and implementation</w:t>
            </w:r>
            <w:r>
              <w:tab/>
            </w:r>
            <w:r>
              <w:fldChar w:fldCharType="begin"/>
            </w:r>
            <w:r>
              <w:instrText xml:space="preserve"> PAGEREF _Toc256000012 \h </w:instrText>
            </w:r>
            <w:r>
              <w:fldChar w:fldCharType="separate"/>
            </w:r>
            <w:r>
              <w:t>26</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3" w:history="1">
            <w:r w:rsidRPr="0038243F">
              <w:rPr>
                <w:rStyle w:val="Hipersaitas"/>
                <w:rFonts w:cs="Arial"/>
              </w:rPr>
              <w:t>a. Management and control systems (MCS)</w:t>
            </w:r>
            <w:r>
              <w:tab/>
            </w:r>
            <w:r>
              <w:fldChar w:fldCharType="begin"/>
            </w:r>
            <w:r>
              <w:instrText xml:space="preserve"> PAGEREF _Toc256000013 \h </w:instrText>
            </w:r>
            <w:r>
              <w:fldChar w:fldCharType="separate"/>
            </w:r>
            <w:r>
              <w:t>26</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4" w:history="1">
            <w:r w:rsidRPr="0038243F">
              <w:rPr>
                <w:rStyle w:val="Hipersaitas"/>
                <w:rFonts w:cs="Arial"/>
              </w:rPr>
              <w:t>b. Complaints</w:t>
            </w:r>
            <w:r>
              <w:tab/>
            </w:r>
            <w:r>
              <w:fldChar w:fldCharType="begin"/>
            </w:r>
            <w:r>
              <w:instrText xml:space="preserve"> PAGEREF _Toc256000014 \h </w:instrText>
            </w:r>
            <w:r>
              <w:fldChar w:fldCharType="separate"/>
            </w:r>
            <w:r>
              <w:t>27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5" w:history="1">
            <w:r w:rsidRPr="0038243F">
              <w:rPr>
                <w:rStyle w:val="Hipersaitas"/>
                <w:rFonts w:cs="Arial"/>
              </w:rPr>
              <w:t>c. Irregularit</w:t>
            </w:r>
            <w:r w:rsidRPr="0038243F">
              <w:rPr>
                <w:rStyle w:val="Hipersaitas"/>
                <w:rFonts w:cs="Arial"/>
              </w:rPr>
              <w:t>ies</w:t>
            </w:r>
            <w:r>
              <w:tab/>
            </w:r>
            <w:r>
              <w:fldChar w:fldCharType="begin"/>
            </w:r>
            <w:r>
              <w:instrText xml:space="preserve"> PAGEREF _Toc256000015 \h </w:instrText>
            </w:r>
            <w:r>
              <w:fldChar w:fldCharType="separate"/>
            </w:r>
            <w:r>
              <w:t>27</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6" w:history="1">
            <w:r w:rsidRPr="0038243F">
              <w:rPr>
                <w:rStyle w:val="Hipersaitas"/>
                <w:rFonts w:cs="Arial"/>
              </w:rPr>
              <w:t>d. Audit</w:t>
            </w:r>
            <w:r>
              <w:tab/>
            </w:r>
            <w:r>
              <w:fldChar w:fldCharType="begin"/>
            </w:r>
            <w:r>
              <w:instrText xml:space="preserve"> PAGEREF _Toc256000016 \h </w:instrText>
            </w:r>
            <w:r>
              <w:fldChar w:fldCharType="separate"/>
            </w:r>
            <w:r>
              <w:t>28</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17" w:history="1">
            <w:r w:rsidRPr="0038243F">
              <w:rPr>
                <w:rStyle w:val="Hipersaitas"/>
                <w:rFonts w:cs="Arial"/>
              </w:rPr>
              <w:t>6.</w:t>
            </w:r>
            <w:r w:rsidRPr="0038243F">
              <w:rPr>
                <w:rFonts w:asciiTheme="minorHAnsi" w:hAnsiTheme="minorHAnsi" w:cs="Arial"/>
                <w:noProof/>
                <w:sz w:val="22"/>
              </w:rPr>
              <w:tab/>
            </w:r>
            <w:r>
              <w:rPr>
                <w:rStyle w:val="Hipersaitas"/>
                <w:rFonts w:cs="Arial"/>
              </w:rPr>
              <w:t>Monitoring and evaluation</w:t>
            </w:r>
            <w:r>
              <w:tab/>
            </w:r>
            <w:r>
              <w:fldChar w:fldCharType="begin"/>
            </w:r>
            <w:r>
              <w:instrText xml:space="preserve"> PAGEREF _Toc256000017 \h </w:instrText>
            </w:r>
            <w:r>
              <w:fldChar w:fldCharType="separate"/>
            </w:r>
            <w:r>
              <w:t>30</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8" w:history="1">
            <w:r w:rsidRPr="0038243F">
              <w:rPr>
                <w:rStyle w:val="Hipersaitas"/>
                <w:rFonts w:cs="Arial"/>
              </w:rPr>
              <w:t>a. Monitoring</w:t>
            </w:r>
            <w:r>
              <w:tab/>
            </w:r>
            <w:r>
              <w:fldChar w:fldCharType="begin"/>
            </w:r>
            <w:r>
              <w:instrText xml:space="preserve"> PAGEREF _Toc256000018 \h </w:instrText>
            </w:r>
            <w:r>
              <w:fldChar w:fldCharType="separate"/>
            </w:r>
            <w:r>
              <w:t>30</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19" w:history="1">
            <w:r w:rsidRPr="0038243F">
              <w:rPr>
                <w:rStyle w:val="Hipersaitas"/>
                <w:rFonts w:cs="Arial"/>
              </w:rPr>
              <w:t>b. Evaluation</w:t>
            </w:r>
            <w:r>
              <w:tab/>
            </w:r>
            <w:r>
              <w:fldChar w:fldCharType="begin"/>
            </w:r>
            <w:r>
              <w:instrText xml:space="preserve"> PAGEREF _Toc256000019 \h </w:instrText>
            </w:r>
            <w:r>
              <w:fldChar w:fldCharType="separate"/>
            </w:r>
            <w:r>
              <w:t>30</w:t>
            </w:r>
            <w:r>
              <w:fldChar w:fldCharType="end"/>
            </w:r>
          </w:hyperlink>
        </w:p>
        <w:p w:rsidR="00A37E99" w:rsidRDefault="00E74D2D">
          <w:pPr>
            <w:pStyle w:val="Turinys1"/>
            <w:tabs>
              <w:tab w:val="left" w:pos="440"/>
              <w:tab w:val="right" w:leader="dot" w:pos="9062"/>
            </w:tabs>
            <w:rPr>
              <w:rFonts w:asciiTheme="minorHAnsi" w:hAnsiTheme="minorHAnsi"/>
              <w:noProof/>
              <w:sz w:val="22"/>
            </w:rPr>
          </w:pPr>
          <w:hyperlink w:anchor="_Toc256000020" w:history="1">
            <w:r w:rsidRPr="0038243F">
              <w:rPr>
                <w:rStyle w:val="Hipersaitas"/>
                <w:rFonts w:cs="Arial"/>
              </w:rPr>
              <w:t>7</w:t>
            </w:r>
            <w:r w:rsidR="00376A28" w:rsidRPr="0038243F">
              <w:rPr>
                <w:rStyle w:val="Hipersaitas"/>
                <w:rFonts w:cs="Arial"/>
              </w:rPr>
              <w:t>.</w:t>
            </w:r>
            <w:r w:rsidR="00376A28" w:rsidRPr="0038243F">
              <w:rPr>
                <w:rFonts w:asciiTheme="minorHAnsi" w:hAnsiTheme="minorHAnsi" w:cs="Arial"/>
                <w:noProof/>
                <w:sz w:val="22"/>
              </w:rPr>
              <w:tab/>
            </w:r>
            <w:r w:rsidR="000F2E5C" w:rsidRPr="0038243F">
              <w:rPr>
                <w:rStyle w:val="Hipersaitas"/>
                <w:rFonts w:cs="Arial"/>
              </w:rPr>
              <w:t>Issues for the annual meeting</w:t>
            </w:r>
            <w:r>
              <w:tab/>
            </w:r>
            <w:r>
              <w:fldChar w:fldCharType="begin"/>
            </w:r>
            <w:r>
              <w:instrText xml:space="preserve"> PAGEREF _Toc256000020 \h </w:instrText>
            </w:r>
            <w:r>
              <w:fldChar w:fldCharType="separate"/>
            </w:r>
            <w:r>
              <w:t>31</w:t>
            </w:r>
            <w:r>
              <w:fldChar w:fldCharType="end"/>
            </w:r>
          </w:hyperlink>
        </w:p>
        <w:p w:rsidR="00A37E99" w:rsidRDefault="00E74D2D">
          <w:pPr>
            <w:pStyle w:val="Turinys1"/>
            <w:tabs>
              <w:tab w:val="right" w:leader="dot" w:pos="9062"/>
            </w:tabs>
            <w:rPr>
              <w:rFonts w:asciiTheme="minorHAnsi" w:hAnsiTheme="minorHAnsi"/>
              <w:noProof/>
              <w:sz w:val="22"/>
            </w:rPr>
          </w:pPr>
          <w:hyperlink w:anchor="_Toc256000021" w:history="1">
            <w:r w:rsidRPr="0038243F">
              <w:rPr>
                <w:rStyle w:val="Hipersaitas"/>
                <w:rFonts w:cs="Arial"/>
              </w:rPr>
              <w:t>ANNEXES</w:t>
            </w:r>
            <w:r>
              <w:tab/>
            </w:r>
            <w:r>
              <w:fldChar w:fldCharType="begin"/>
            </w:r>
            <w:r>
              <w:instrText xml:space="preserve"> PAGEREF _Toc256000021 \h </w:instrText>
            </w:r>
            <w:r>
              <w:fldChar w:fldCharType="separate"/>
            </w:r>
            <w:r>
              <w:t>31</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22" w:history="1">
            <w:r>
              <w:rPr>
                <w:rStyle w:val="Hipersaitas"/>
              </w:rPr>
              <w:t xml:space="preserve">Annex </w:t>
            </w:r>
            <w:r w:rsidR="00320F65">
              <w:rPr>
                <w:rStyle w:val="Hipersaitas"/>
              </w:rPr>
              <w:t>A</w:t>
            </w:r>
            <w:r>
              <w:rPr>
                <w:rStyle w:val="Hipersaitas"/>
              </w:rPr>
              <w:t>:</w:t>
            </w:r>
            <w:r w:rsidRPr="00376A28">
              <w:rPr>
                <w:rStyle w:val="Hipersaitas"/>
              </w:rPr>
              <w:t xml:space="preserve"> Risk </w:t>
            </w:r>
            <w:r w:rsidR="00320F65">
              <w:rPr>
                <w:rStyle w:val="Hipersaitas"/>
              </w:rPr>
              <w:t xml:space="preserve">assessment and </w:t>
            </w:r>
            <w:r w:rsidRPr="00376A28">
              <w:rPr>
                <w:rStyle w:val="Hipersaitas"/>
              </w:rPr>
              <w:t>management</w:t>
            </w:r>
            <w:r w:rsidR="00320F65">
              <w:rPr>
                <w:rStyle w:val="Hipersaitas"/>
              </w:rPr>
              <w:t xml:space="preserve"> plan</w:t>
            </w:r>
            <w:r>
              <w:tab/>
            </w:r>
            <w:r>
              <w:fldChar w:fldCharType="begin"/>
            </w:r>
            <w:r>
              <w:instrText xml:space="preserve"> PAGEREF _Toc256000022 \h </w:instrText>
            </w:r>
            <w:r>
              <w:fldChar w:fldCharType="separate"/>
            </w:r>
            <w:r>
              <w:t>32</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23" w:history="1">
            <w:r>
              <w:rPr>
                <w:rStyle w:val="Hipersaitas"/>
              </w:rPr>
              <w:t xml:space="preserve">Annex </w:t>
            </w:r>
            <w:r w:rsidR="00FA23AE">
              <w:rPr>
                <w:rStyle w:val="Hipersaitas"/>
              </w:rPr>
              <w:t>B</w:t>
            </w:r>
            <w:r>
              <w:rPr>
                <w:rStyle w:val="Hipersaitas"/>
              </w:rPr>
              <w:t>:</w:t>
            </w:r>
            <w:r w:rsidRPr="00376A28">
              <w:rPr>
                <w:rStyle w:val="Hipersaitas"/>
              </w:rPr>
              <w:t xml:space="preserve"> </w:t>
            </w:r>
            <w:r w:rsidR="00891074">
              <w:rPr>
                <w:rStyle w:val="Hipersaitas"/>
              </w:rPr>
              <w:t>Evaluation plan</w:t>
            </w:r>
            <w:r>
              <w:tab/>
            </w:r>
            <w:r>
              <w:fldChar w:fldCharType="begin"/>
            </w:r>
            <w:r>
              <w:instrText xml:space="preserve"> PAGEREF _Toc256000023 \h </w:instrText>
            </w:r>
            <w:r>
              <w:fldChar w:fldCharType="separate"/>
            </w:r>
            <w:r>
              <w:t>35</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24" w:history="1">
            <w:r>
              <w:rPr>
                <w:rStyle w:val="Hipersaitas"/>
              </w:rPr>
              <w:t xml:space="preserve">Annex </w:t>
            </w:r>
            <w:r w:rsidR="00D44F56">
              <w:rPr>
                <w:rStyle w:val="Hipersaitas"/>
              </w:rPr>
              <w:t>C</w:t>
            </w:r>
            <w:r>
              <w:rPr>
                <w:rStyle w:val="Hipersaitas"/>
              </w:rPr>
              <w:t>:</w:t>
            </w:r>
            <w:r w:rsidRPr="00376A28">
              <w:rPr>
                <w:rStyle w:val="Hipersaitas"/>
              </w:rPr>
              <w:t xml:space="preserve"> </w:t>
            </w:r>
            <w:r w:rsidR="00D44F56" w:rsidRPr="00D44F56">
              <w:rPr>
                <w:rStyle w:val="Hipersaitas"/>
              </w:rPr>
              <w:t>Cooperation with Donor Programme Partners and</w:t>
            </w:r>
            <w:r w:rsidR="000E37DA">
              <w:rPr>
                <w:rStyle w:val="Hipersaitas"/>
                <w:lang w:val="bg-BG"/>
              </w:rPr>
              <w:t>/</w:t>
            </w:r>
            <w:r w:rsidR="000E37DA">
              <w:rPr>
                <w:rStyle w:val="Hipersaitas"/>
                <w:lang w:val="en-US"/>
              </w:rPr>
              <w:t>or</w:t>
            </w:r>
            <w:r w:rsidR="00D44F56" w:rsidRPr="00D44F56">
              <w:rPr>
                <w:rStyle w:val="Hipersaitas"/>
              </w:rPr>
              <w:t xml:space="preserve"> International Partner Organisations</w:t>
            </w:r>
            <w:r>
              <w:tab/>
            </w:r>
            <w:r>
              <w:fldChar w:fldCharType="begin"/>
            </w:r>
            <w:r>
              <w:instrText xml:space="preserve"> PAGEREF _Toc256000024 \h </w:instrText>
            </w:r>
            <w:r>
              <w:fldChar w:fldCharType="separate"/>
            </w:r>
            <w:r>
              <w:t>36</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25" w:history="1">
            <w:r>
              <w:rPr>
                <w:rStyle w:val="Hipersaitas"/>
              </w:rPr>
              <w:t xml:space="preserve">Annex </w:t>
            </w:r>
            <w:r w:rsidR="001B7394">
              <w:rPr>
                <w:rStyle w:val="Hipersaitas"/>
              </w:rPr>
              <w:t>D</w:t>
            </w:r>
            <w:r>
              <w:rPr>
                <w:rStyle w:val="Hipersaitas"/>
              </w:rPr>
              <w:t>:</w:t>
            </w:r>
            <w:r w:rsidRPr="00376A28">
              <w:rPr>
                <w:rStyle w:val="Hipersaitas"/>
              </w:rPr>
              <w:t xml:space="preserve"> </w:t>
            </w:r>
            <w:r w:rsidR="00FA7BAD" w:rsidRPr="00FA7BAD">
              <w:rPr>
                <w:rStyle w:val="Hipersaitas"/>
              </w:rPr>
              <w:t>Technical assistance report</w:t>
            </w:r>
            <w:r>
              <w:tab/>
            </w:r>
            <w:r>
              <w:fldChar w:fldCharType="begin"/>
            </w:r>
            <w:r>
              <w:instrText xml:space="preserve"> PAGEREF _Toc256000025 \h </w:instrText>
            </w:r>
            <w:r>
              <w:fldChar w:fldCharType="separate"/>
            </w:r>
            <w:r>
              <w:t>37</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26" w:history="1">
            <w:r>
              <w:rPr>
                <w:rStyle w:val="Hipersaitas"/>
              </w:rPr>
              <w:t>Overview of main activities</w:t>
            </w:r>
            <w:r>
              <w:tab/>
            </w:r>
            <w:r>
              <w:fldChar w:fldCharType="begin"/>
            </w:r>
            <w:r>
              <w:instrText xml:space="preserve"> PAGEREF _Toc256000026 \h </w:instrText>
            </w:r>
            <w:r>
              <w:fldChar w:fldCharType="separate"/>
            </w:r>
            <w:r>
              <w:t>37</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27" w:history="1">
            <w:r>
              <w:rPr>
                <w:rStyle w:val="Hipersaitas"/>
              </w:rPr>
              <w:t>Budget overview</w:t>
            </w:r>
            <w:r>
              <w:tab/>
            </w:r>
            <w:r>
              <w:fldChar w:fldCharType="begin"/>
            </w:r>
            <w:r>
              <w:instrText xml:space="preserve"> PAGEREF _Toc256000027 \h </w:instrText>
            </w:r>
            <w:r>
              <w:fldChar w:fldCharType="separate"/>
            </w:r>
            <w:r>
              <w:t>38</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28" w:history="1">
            <w:r>
              <w:rPr>
                <w:rStyle w:val="Hipersaitas"/>
              </w:rPr>
              <w:t>Procurement</w:t>
            </w:r>
            <w:r>
              <w:tab/>
            </w:r>
            <w:r>
              <w:fldChar w:fldCharType="begin"/>
            </w:r>
            <w:r>
              <w:instrText xml:space="preserve"> PAGEREF _Toc256000028 \h </w:instrText>
            </w:r>
            <w:r>
              <w:fldChar w:fldCharType="separate"/>
            </w:r>
            <w:r>
              <w:t>39</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29" w:history="1">
            <w:r>
              <w:rPr>
                <w:rStyle w:val="Hipersaitas"/>
              </w:rPr>
              <w:t>Staffing</w:t>
            </w:r>
            <w:r>
              <w:tab/>
            </w:r>
            <w:r>
              <w:fldChar w:fldCharType="begin"/>
            </w:r>
            <w:r>
              <w:instrText xml:space="preserve"> PAGEREF _Toc256000029 \h </w:instrText>
            </w:r>
            <w:r>
              <w:fldChar w:fldCharType="separate"/>
            </w:r>
            <w:r>
              <w:t>39</w:t>
            </w:r>
            <w:r>
              <w:fldChar w:fldCharType="end"/>
            </w:r>
          </w:hyperlink>
        </w:p>
        <w:p w:rsidR="00A37E99" w:rsidRDefault="00E74D2D">
          <w:pPr>
            <w:pStyle w:val="Turinys2"/>
            <w:tabs>
              <w:tab w:val="right" w:leader="dot" w:pos="9062"/>
            </w:tabs>
            <w:rPr>
              <w:rFonts w:asciiTheme="minorHAnsi" w:hAnsiTheme="minorHAnsi"/>
              <w:noProof/>
              <w:sz w:val="22"/>
            </w:rPr>
          </w:pPr>
          <w:hyperlink w:anchor="_Toc256000030" w:history="1">
            <w:r>
              <w:rPr>
                <w:rStyle w:val="Hipersaitas"/>
              </w:rPr>
              <w:t xml:space="preserve">Annex </w:t>
            </w:r>
            <w:r w:rsidR="000A7344">
              <w:rPr>
                <w:rStyle w:val="Hipersaitas"/>
              </w:rPr>
              <w:t>E</w:t>
            </w:r>
            <w:r>
              <w:rPr>
                <w:rStyle w:val="Hipersaitas"/>
              </w:rPr>
              <w:t>:</w:t>
            </w:r>
            <w:r w:rsidRPr="00376A28">
              <w:rPr>
                <w:rStyle w:val="Hipersaitas"/>
              </w:rPr>
              <w:t xml:space="preserve"> Communication</w:t>
            </w:r>
            <w:r w:rsidR="00FF3ABD">
              <w:rPr>
                <w:rStyle w:val="Hipersaitas"/>
              </w:rPr>
              <w:t xml:space="preserve"> summary</w:t>
            </w:r>
            <w:r>
              <w:tab/>
            </w:r>
            <w:r>
              <w:fldChar w:fldCharType="begin"/>
            </w:r>
            <w:r>
              <w:instrText xml:space="preserve"> PAGEREF _Toc256000030 \h </w:instrText>
            </w:r>
            <w:r>
              <w:fldChar w:fldCharType="separate"/>
            </w:r>
            <w:r>
              <w:t>59</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31" w:history="1">
            <w:r>
              <w:rPr>
                <w:rStyle w:val="Hipersaitas"/>
              </w:rPr>
              <w:t>1. Best projects</w:t>
            </w:r>
            <w:r>
              <w:tab/>
            </w:r>
            <w:r>
              <w:fldChar w:fldCharType="begin"/>
            </w:r>
            <w:r>
              <w:instrText xml:space="preserve"> PAGEREF _Toc256000031 \h </w:instrText>
            </w:r>
            <w:r>
              <w:fldChar w:fldCharType="separate"/>
            </w:r>
            <w:r>
              <w:t>59</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32" w:history="1">
            <w:r>
              <w:rPr>
                <w:rStyle w:val="Hipersaitas"/>
              </w:rPr>
              <w:t>2. Visibilit</w:t>
            </w:r>
            <w:r>
              <w:rPr>
                <w:rStyle w:val="Hipersaitas"/>
              </w:rPr>
              <w:t>y of the Grants and the Donors</w:t>
            </w:r>
            <w:r>
              <w:tab/>
            </w:r>
            <w:r>
              <w:fldChar w:fldCharType="begin"/>
            </w:r>
            <w:r>
              <w:instrText xml:space="preserve"> PAGEREF _Toc256000032 \h </w:instrText>
            </w:r>
            <w:r>
              <w:fldChar w:fldCharType="separate"/>
            </w:r>
            <w:r>
              <w:t>59</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33" w:history="1">
            <w:r>
              <w:rPr>
                <w:rStyle w:val="Hipersaitas"/>
              </w:rPr>
              <w:t>3. Media coverage</w:t>
            </w:r>
            <w:r>
              <w:tab/>
            </w:r>
            <w:r>
              <w:fldChar w:fldCharType="begin"/>
            </w:r>
            <w:r>
              <w:instrText xml:space="preserve"> PAGEREF _Toc256000033 \h </w:instrText>
            </w:r>
            <w:r>
              <w:fldChar w:fldCharType="separate"/>
            </w:r>
            <w:r>
              <w:t>60</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34" w:history="1">
            <w:r>
              <w:rPr>
                <w:rStyle w:val="Hipersaitas"/>
              </w:rPr>
              <w:t>4. Website and social media</w:t>
            </w:r>
            <w:r>
              <w:tab/>
            </w:r>
            <w:r>
              <w:fldChar w:fldCharType="begin"/>
            </w:r>
            <w:r>
              <w:instrText xml:space="preserve"> PAGEREF _Toc256000034 \h </w:instrText>
            </w:r>
            <w:r>
              <w:fldChar w:fldCharType="separate"/>
            </w:r>
            <w:r>
              <w:t>60</w:t>
            </w:r>
            <w:r>
              <w:fldChar w:fldCharType="end"/>
            </w:r>
          </w:hyperlink>
        </w:p>
        <w:p w:rsidR="00A37E99" w:rsidRDefault="00E74D2D">
          <w:pPr>
            <w:pStyle w:val="Turinys3"/>
            <w:tabs>
              <w:tab w:val="right" w:leader="dot" w:pos="9062"/>
            </w:tabs>
            <w:rPr>
              <w:rFonts w:asciiTheme="minorHAnsi" w:hAnsiTheme="minorHAnsi"/>
              <w:noProof/>
              <w:sz w:val="22"/>
            </w:rPr>
          </w:pPr>
          <w:hyperlink w:anchor="_Toc256000035" w:history="1">
            <w:r>
              <w:rPr>
                <w:rStyle w:val="Hipersaitas"/>
              </w:rPr>
              <w:t>5. Visuals</w:t>
            </w:r>
            <w:r>
              <w:tab/>
            </w:r>
            <w:r>
              <w:fldChar w:fldCharType="begin"/>
            </w:r>
            <w:r>
              <w:instrText xml:space="preserve"> PAGEREF _Toc256000035 \h </w:instrText>
            </w:r>
            <w:r>
              <w:fldChar w:fldCharType="separate"/>
            </w:r>
            <w:r>
              <w:t>60</w:t>
            </w:r>
            <w:r>
              <w:fldChar w:fldCharType="end"/>
            </w:r>
          </w:hyperlink>
        </w:p>
        <w:p w:rsidR="001D509F" w:rsidRPr="0038243F" w:rsidRDefault="00E74D2D" w:rsidP="001D509F">
          <w:pPr>
            <w:rPr>
              <w:rFonts w:cs="Arial"/>
              <w:b/>
              <w:bCs/>
              <w:noProof/>
            </w:rPr>
          </w:pPr>
          <w:r w:rsidRPr="0038243F">
            <w:rPr>
              <w:rFonts w:cs="Arial"/>
              <w:b/>
              <w:bCs/>
              <w:noProof/>
            </w:rPr>
            <w:fldChar w:fldCharType="end"/>
          </w:r>
        </w:p>
      </w:sdtContent>
    </w:sdt>
    <w:p w:rsidR="00376A28" w:rsidRPr="0038243F" w:rsidRDefault="00376A28" w:rsidP="001D509F">
      <w:pPr>
        <w:ind w:left="0"/>
        <w:rPr>
          <w:rFonts w:cs="Arial"/>
          <w:sz w:val="28"/>
          <w:szCs w:val="28"/>
        </w:rPr>
        <w:sectPr w:rsidR="00376A28" w:rsidRPr="0038243F" w:rsidSect="0040431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376A28" w:rsidRPr="0004386F" w:rsidRDefault="00E74D2D" w:rsidP="00376A28">
      <w:pPr>
        <w:pStyle w:val="Antrat1"/>
        <w:rPr>
          <w:rFonts w:cs="Arial"/>
          <w:szCs w:val="22"/>
        </w:rPr>
      </w:pPr>
      <w:bookmarkStart w:id="0" w:name="_Toc18006826"/>
      <w:bookmarkStart w:id="1" w:name="_Toc256000000"/>
      <w:r>
        <w:rPr>
          <w:rFonts w:cs="Arial"/>
          <w:szCs w:val="22"/>
        </w:rPr>
        <w:lastRenderedPageBreak/>
        <w:t>1</w:t>
      </w:r>
      <w:r w:rsidRPr="0004386F">
        <w:rPr>
          <w:rFonts w:cs="Arial"/>
          <w:szCs w:val="22"/>
        </w:rPr>
        <w:t>.</w:t>
      </w:r>
      <w:r w:rsidRPr="0004386F">
        <w:rPr>
          <w:rFonts w:cs="Arial"/>
          <w:szCs w:val="22"/>
        </w:rPr>
        <w:tab/>
      </w:r>
      <w:bookmarkEnd w:id="0"/>
      <w:r w:rsidR="00C85F62">
        <w:rPr>
          <w:rFonts w:cs="Arial"/>
          <w:szCs w:val="22"/>
        </w:rPr>
        <w:t>Executive summary</w:t>
      </w:r>
      <w:bookmarkEnd w:id="1"/>
    </w:p>
    <w:p w:rsidR="00A37E99" w:rsidRDefault="00E74D2D">
      <w:pPr>
        <w:spacing w:after="240"/>
      </w:pPr>
      <w:r>
        <w:t> </w:t>
      </w:r>
    </w:p>
    <w:p w:rsidR="00A37E99" w:rsidRPr="00E74D2D" w:rsidRDefault="00E74D2D">
      <w:pPr>
        <w:spacing w:before="240" w:after="240"/>
        <w:jc w:val="both"/>
      </w:pPr>
      <w:r w:rsidRPr="00E74D2D">
        <w:rPr>
          <w:rFonts w:ascii="Times New Roman" w:eastAsia="Times New Roman" w:hAnsi="Times New Roman" w:cs="Times New Roman"/>
          <w:sz w:val="22"/>
        </w:rPr>
        <w:t xml:space="preserve">The strategic report reflects the implementation of the European Economic Area (hereinafter – EEA) and Norwegian Financial Mechanisms 2014–2021 in Lithuania (hereinafter – </w:t>
      </w:r>
      <w:r w:rsidRPr="00E74D2D">
        <w:rPr>
          <w:rFonts w:ascii="Times New Roman" w:eastAsia="Times New Roman" w:hAnsi="Times New Roman" w:cs="Times New Roman"/>
          <w:sz w:val="22"/>
        </w:rPr>
        <w:t>Grants) during the period from 20 March 2022 to 20 March 2023 and contains the information on progress in developing the programme level Management and Control System (hereinafter – MCS) (since the development of the National level MCS was completed), impl</w:t>
      </w:r>
      <w:r w:rsidRPr="00E74D2D">
        <w:rPr>
          <w:rFonts w:ascii="Times New Roman" w:eastAsia="Times New Roman" w:hAnsi="Times New Roman" w:cs="Times New Roman"/>
          <w:sz w:val="22"/>
        </w:rPr>
        <w:t>ementing the programmes, as well as the status of the Fund for Bilateral Relations, performed audits, key communication activities and other important issues.</w:t>
      </w:r>
    </w:p>
    <w:p w:rsidR="00A37E99" w:rsidRDefault="00E74D2D">
      <w:pPr>
        <w:spacing w:before="240" w:after="240"/>
        <w:jc w:val="both"/>
      </w:pPr>
      <w:r>
        <w:rPr>
          <w:rFonts w:ascii="Times New Roman" w:eastAsia="Times New Roman" w:hAnsi="Times New Roman" w:cs="Times New Roman"/>
          <w:sz w:val="22"/>
        </w:rPr>
        <w:t>Several important effects of the Grants are to be mentioned during the reporti</w:t>
      </w:r>
      <w:bookmarkStart w:id="2" w:name="_GoBack"/>
      <w:bookmarkEnd w:id="2"/>
      <w:r>
        <w:rPr>
          <w:rFonts w:ascii="Times New Roman" w:eastAsia="Times New Roman" w:hAnsi="Times New Roman" w:cs="Times New Roman"/>
          <w:sz w:val="22"/>
        </w:rPr>
        <w:t>ng period. Health a</w:t>
      </w:r>
      <w:r>
        <w:rPr>
          <w:rFonts w:ascii="Times New Roman" w:eastAsia="Times New Roman" w:hAnsi="Times New Roman" w:cs="Times New Roman"/>
          <w:sz w:val="22"/>
        </w:rPr>
        <w:t>nd Culture programmes have significant impacts on the emotional health of the population, and this will have wider social and economic effects. The impact of the largest project of financial mechanisms in the Justice programme implemented by the Department</w:t>
      </w:r>
      <w:r>
        <w:rPr>
          <w:rFonts w:ascii="Times New Roman" w:eastAsia="Times New Roman" w:hAnsi="Times New Roman" w:cs="Times New Roman"/>
          <w:sz w:val="22"/>
        </w:rPr>
        <w:t xml:space="preserve"> of Prisons under the Ministry of Justice of the Republic of Lithuania is systemic, as it is related to changing the attitude towards detainees and</w:t>
      </w:r>
      <w:r>
        <w:rPr>
          <w:rFonts w:ascii="Calibri" w:eastAsia="Calibri" w:hAnsi="Calibri" w:cs="Calibri"/>
          <w:sz w:val="22"/>
        </w:rPr>
        <w:t xml:space="preserve"> </w:t>
      </w:r>
      <w:r>
        <w:rPr>
          <w:rFonts w:ascii="Times New Roman" w:eastAsia="Times New Roman" w:hAnsi="Times New Roman" w:cs="Times New Roman"/>
          <w:sz w:val="22"/>
        </w:rPr>
        <w:t>prisoners and improving the conditions of resocialization. The impact of the Innovation programme on Norwegi</w:t>
      </w:r>
      <w:r>
        <w:rPr>
          <w:rFonts w:ascii="Times New Roman" w:eastAsia="Times New Roman" w:hAnsi="Times New Roman" w:cs="Times New Roman"/>
          <w:sz w:val="22"/>
        </w:rPr>
        <w:t>an companies, in addition to the joint development of product or service and the strengthening of business relations with Lithuania, is the internationalization of companies. The Environment programme's most significant project in financial terms is invest</w:t>
      </w:r>
      <w:r>
        <w:rPr>
          <w:rFonts w:ascii="Times New Roman" w:eastAsia="Times New Roman" w:hAnsi="Times New Roman" w:cs="Times New Roman"/>
          <w:sz w:val="22"/>
        </w:rPr>
        <w:t>ing in an information and warning system in case of a nuclear accident and is not only of national but also of international relevance. The Research programme is unique in this programming period in that it is implemented in Lithuania and jointly Latvia, a</w:t>
      </w:r>
      <w:r>
        <w:rPr>
          <w:rFonts w:ascii="Times New Roman" w:eastAsia="Times New Roman" w:hAnsi="Times New Roman" w:cs="Times New Roman"/>
          <w:sz w:val="22"/>
        </w:rPr>
        <w:t xml:space="preserve">nd Estonia. This model strengthens synergies between the Baltic researchers. </w:t>
      </w:r>
    </w:p>
    <w:p w:rsidR="00A37E99" w:rsidRDefault="00E74D2D">
      <w:pPr>
        <w:spacing w:before="240" w:after="240"/>
        <w:jc w:val="both"/>
      </w:pPr>
      <w:r>
        <w:rPr>
          <w:rFonts w:ascii="Times New Roman" w:eastAsia="Times New Roman" w:hAnsi="Times New Roman" w:cs="Times New Roman"/>
          <w:sz w:val="22"/>
        </w:rPr>
        <w:t>Due to Covid-19 and restrictions on meetings, activities that required contact meetings started more intensively in 2022. Infrastructural projects have faced serious challenges d</w:t>
      </w:r>
      <w:r>
        <w:rPr>
          <w:rFonts w:ascii="Times New Roman" w:eastAsia="Times New Roman" w:hAnsi="Times New Roman" w:cs="Times New Roman"/>
          <w:sz w:val="22"/>
        </w:rPr>
        <w:t>ue to rapidly increasing prices of goods, services, construction works, energy prices and inflation. The measures have already been put in place to mitigate the risk of increasing prices – relocation of savings in the projects, conducting market analysis b</w:t>
      </w:r>
      <w:r>
        <w:rPr>
          <w:rFonts w:ascii="Times New Roman" w:eastAsia="Times New Roman" w:hAnsi="Times New Roman" w:cs="Times New Roman"/>
          <w:sz w:val="22"/>
        </w:rPr>
        <w:t>efore the start of public procurement procedures. The risk of incomplete disbursement of funds by the final expenditure eligibility date in 30 April 2025 is still relevant to the Innovation, Health, Culture and Research Programmes, corresponding measures t</w:t>
      </w:r>
      <w:r>
        <w:rPr>
          <w:rFonts w:ascii="Times New Roman" w:eastAsia="Times New Roman" w:hAnsi="Times New Roman" w:cs="Times New Roman"/>
          <w:sz w:val="22"/>
        </w:rPr>
        <w:t xml:space="preserve">o mitigate the risks are envisaged and thus considered as manageable. </w:t>
      </w:r>
    </w:p>
    <w:p w:rsidR="00A37E99" w:rsidRDefault="00E74D2D">
      <w:pPr>
        <w:spacing w:before="240" w:after="240"/>
        <w:jc w:val="both"/>
      </w:pPr>
      <w:r>
        <w:rPr>
          <w:rFonts w:ascii="Times New Roman" w:eastAsia="Times New Roman" w:hAnsi="Times New Roman" w:cs="Times New Roman"/>
          <w:sz w:val="22"/>
        </w:rPr>
        <w:t xml:space="preserve">Following russia’s invasion of Ukraine and subsequent humanitarian crisis, the Donor States had made it possible to use available funds from the EEA and Norway Grants for such purpose. </w:t>
      </w:r>
      <w:r>
        <w:rPr>
          <w:rFonts w:ascii="Times New Roman" w:eastAsia="Times New Roman" w:hAnsi="Times New Roman" w:cs="Times New Roman"/>
          <w:sz w:val="22"/>
        </w:rPr>
        <w:t>The Bilateral Fund was considered as the most appropriate source of funding and three projects aiming to address Ukrainian refugee needs were funded.</w:t>
      </w:r>
    </w:p>
    <w:p w:rsidR="00A37E99" w:rsidRDefault="00E74D2D">
      <w:pPr>
        <w:spacing w:before="240" w:after="240"/>
        <w:jc w:val="both"/>
      </w:pPr>
      <w:r>
        <w:rPr>
          <w:rFonts w:ascii="Times New Roman" w:eastAsia="Times New Roman" w:hAnsi="Times New Roman" w:cs="Times New Roman"/>
          <w:sz w:val="22"/>
        </w:rPr>
        <w:t>During the reporting period, the Audit Authority performed four compliance audits. After summarising the r</w:t>
      </w:r>
      <w:r>
        <w:rPr>
          <w:rFonts w:ascii="Times New Roman" w:eastAsia="Times New Roman" w:hAnsi="Times New Roman" w:cs="Times New Roman"/>
          <w:sz w:val="22"/>
        </w:rPr>
        <w:t>esults of the audit of the effectiveness of the functioning of the MCS of the Programmes, the final estimate for the effectiveness of the functioning of the MCS of the Programmes was: works well or works. According to the audit of declared expenditure of t</w:t>
      </w:r>
      <w:r>
        <w:rPr>
          <w:rFonts w:ascii="Times New Roman" w:eastAsia="Times New Roman" w:hAnsi="Times New Roman" w:cs="Times New Roman"/>
          <w:sz w:val="22"/>
        </w:rPr>
        <w:t>he Programmes, technical assistance and the Fund for Bilateral Relations under the EEA and Norwegian Financial Mechanisms 2014–2021, in all relevant aspects, the declared expenditure of the Programmes is correct, legal, reasonable and eligible for funding.</w:t>
      </w:r>
    </w:p>
    <w:p w:rsidR="00A37E99" w:rsidRDefault="00E74D2D">
      <w:pPr>
        <w:spacing w:before="240" w:after="240"/>
        <w:jc w:val="both"/>
      </w:pPr>
      <w:r>
        <w:rPr>
          <w:rFonts w:ascii="Times New Roman" w:eastAsia="Times New Roman" w:hAnsi="Times New Roman" w:cs="Times New Roman"/>
          <w:sz w:val="22"/>
        </w:rPr>
        <w:lastRenderedPageBreak/>
        <w:t>The most active use of most mentioned Grants was via web portals and in the regional press. During the 12- month period (1 March 2022- 23 February 2023), a website received over 17 000 visitors. The main communication activity was Facebook. In 2022, 47 po</w:t>
      </w:r>
      <w:r>
        <w:rPr>
          <w:rFonts w:ascii="Times New Roman" w:eastAsia="Times New Roman" w:hAnsi="Times New Roman" w:cs="Times New Roman"/>
          <w:sz w:val="22"/>
        </w:rPr>
        <w:t>sts were posted on a Facebook channel “Norvegija, Islandija ir Lichtenšteinas Lietuvai”. Communication campaign was organised with 10 game series on the radio.</w:t>
      </w:r>
    </w:p>
    <w:p w:rsidR="00A37E99" w:rsidRDefault="00E74D2D">
      <w:pPr>
        <w:spacing w:before="240" w:after="240"/>
        <w:jc w:val="both"/>
      </w:pPr>
      <w:r>
        <w:rPr>
          <w:rFonts w:ascii="Times New Roman" w:eastAsia="Times New Roman" w:hAnsi="Times New Roman" w:cs="Times New Roman"/>
          <w:sz w:val="22"/>
          <w:lang w:eastAsia="en-GB"/>
        </w:rPr>
        <w:t>Reallocation of funds and closure of programmes are the issues to be addressed during the annual</w:t>
      </w:r>
      <w:r>
        <w:rPr>
          <w:rFonts w:ascii="Times New Roman" w:eastAsia="Times New Roman" w:hAnsi="Times New Roman" w:cs="Times New Roman"/>
          <w:sz w:val="22"/>
          <w:lang w:eastAsia="en-GB"/>
        </w:rPr>
        <w:t xml:space="preserve"> meeting. No other issues are identified.</w:t>
      </w:r>
    </w:p>
    <w:p w:rsidR="00A37E99" w:rsidRDefault="00E74D2D">
      <w:pPr>
        <w:spacing w:before="240" w:after="240"/>
      </w:pPr>
      <w:r>
        <w:t> </w:t>
      </w:r>
    </w:p>
    <w:p w:rsidR="00376A28" w:rsidRPr="0004386F" w:rsidRDefault="00E74D2D" w:rsidP="00376A28">
      <w:pPr>
        <w:pStyle w:val="Antrat1"/>
        <w:rPr>
          <w:rFonts w:cs="Arial"/>
          <w:szCs w:val="22"/>
        </w:rPr>
      </w:pPr>
      <w:bookmarkStart w:id="3" w:name="_Toc18006827"/>
      <w:bookmarkStart w:id="4" w:name="_Toc256000001"/>
      <w:r w:rsidRPr="0004386F">
        <w:rPr>
          <w:rFonts w:cs="Arial"/>
          <w:szCs w:val="22"/>
        </w:rPr>
        <w:t>2.</w:t>
      </w:r>
      <w:r w:rsidRPr="0004386F">
        <w:rPr>
          <w:rFonts w:cs="Arial"/>
          <w:szCs w:val="22"/>
        </w:rPr>
        <w:tab/>
      </w:r>
      <w:bookmarkEnd w:id="3"/>
      <w:r w:rsidR="00F46AF1" w:rsidRPr="0004386F">
        <w:rPr>
          <w:rFonts w:cs="Arial"/>
          <w:szCs w:val="22"/>
        </w:rPr>
        <w:t>Country Developments and effects of the Grants</w:t>
      </w:r>
      <w:bookmarkEnd w:id="4"/>
    </w:p>
    <w:p w:rsidR="00A37E99" w:rsidRDefault="00E74D2D">
      <w:pPr>
        <w:spacing w:after="240"/>
      </w:pPr>
      <w:r>
        <w:rPr>
          <w:rFonts w:ascii="Times New Roman" w:eastAsia="Times New Roman" w:hAnsi="Times New Roman" w:cs="Times New Roman"/>
          <w:sz w:val="22"/>
        </w:rPr>
        <w:t>Undoubtedly, one of the main factors that had the strongest impact on our country's economy in 2022 - russian aggression in Ukraine. Looking at the results for 20</w:t>
      </w:r>
      <w:r>
        <w:rPr>
          <w:rFonts w:ascii="Times New Roman" w:eastAsia="Times New Roman" w:hAnsi="Times New Roman" w:cs="Times New Roman"/>
          <w:sz w:val="22"/>
        </w:rPr>
        <w:t>22, the economic growth despite the war was robust. The volume of industrial production increased, retail and international trade grew, the number of job vacancies and the unemployed decreased. In 2022, according to preliminary estimates, gross domestic pr</w:t>
      </w:r>
      <w:r>
        <w:rPr>
          <w:rFonts w:ascii="Times New Roman" w:eastAsia="Times New Roman" w:hAnsi="Times New Roman" w:cs="Times New Roman"/>
          <w:sz w:val="22"/>
        </w:rPr>
        <w:t>oduct amounted to EUR 67.1 billion at current prices. As compared to 2021, the real change in the gross domestic product following the removal of the impact of the season and the number of working days was 2.2 %.</w:t>
      </w:r>
    </w:p>
    <w:p w:rsidR="00A37E99" w:rsidRDefault="00E74D2D">
      <w:pPr>
        <w:spacing w:before="240" w:after="240"/>
        <w:jc w:val="both"/>
      </w:pPr>
      <w:r>
        <w:rPr>
          <w:rFonts w:ascii="Times New Roman" w:eastAsia="Times New Roman" w:hAnsi="Times New Roman" w:cs="Times New Roman"/>
          <w:sz w:val="22"/>
        </w:rPr>
        <w:t>The biggest positive influence on the chang</w:t>
      </w:r>
      <w:r>
        <w:rPr>
          <w:rFonts w:ascii="Times New Roman" w:eastAsia="Times New Roman" w:hAnsi="Times New Roman" w:cs="Times New Roman"/>
          <w:sz w:val="22"/>
        </w:rPr>
        <w:t>e in the gross domestic product was made by the performance of industrial sector companies. Last year, industrial production was sold for EUR 38.4 billion at current prices, following the removal of the influence of the</w:t>
      </w:r>
      <w:r>
        <w:rPr>
          <w:rFonts w:ascii="Calibri" w:eastAsia="Calibri" w:hAnsi="Calibri" w:cs="Calibri"/>
          <w:sz w:val="22"/>
        </w:rPr>
        <w:t xml:space="preserve"> </w:t>
      </w:r>
      <w:r>
        <w:rPr>
          <w:rFonts w:ascii="Times New Roman" w:eastAsia="Times New Roman" w:hAnsi="Times New Roman" w:cs="Times New Roman"/>
          <w:sz w:val="22"/>
        </w:rPr>
        <w:t>number of working days, 9.4 % at con</w:t>
      </w:r>
      <w:r>
        <w:rPr>
          <w:rFonts w:ascii="Times New Roman" w:eastAsia="Times New Roman" w:hAnsi="Times New Roman" w:cs="Times New Roman"/>
          <w:sz w:val="22"/>
        </w:rPr>
        <w:t>stant prices more than in 2021.</w:t>
      </w:r>
    </w:p>
    <w:p w:rsidR="00A37E99" w:rsidRDefault="00E74D2D">
      <w:pPr>
        <w:spacing w:before="240" w:after="240"/>
        <w:jc w:val="both"/>
      </w:pPr>
      <w:r>
        <w:rPr>
          <w:rFonts w:ascii="Times New Roman" w:eastAsia="Times New Roman" w:hAnsi="Times New Roman" w:cs="Times New Roman"/>
          <w:sz w:val="22"/>
        </w:rPr>
        <w:t>Business was able to adapt to the uncertainties of the war, although serious consequences will be felt for a long time. In 2022, both exports and imports increased. According to preliminary data, in 2022, exports of goods am</w:t>
      </w:r>
      <w:r>
        <w:rPr>
          <w:rFonts w:ascii="Times New Roman" w:eastAsia="Times New Roman" w:hAnsi="Times New Roman" w:cs="Times New Roman"/>
          <w:sz w:val="22"/>
        </w:rPr>
        <w:t xml:space="preserve">ounted to EUR 44 billion, imports – EUR 52 billion. As compared to 2021, exports increased by 27.5 %, imports by 38 %. </w:t>
      </w:r>
    </w:p>
    <w:p w:rsidR="00A37E99" w:rsidRDefault="00E74D2D">
      <w:pPr>
        <w:spacing w:before="240" w:after="240"/>
        <w:jc w:val="both"/>
      </w:pPr>
      <w:r>
        <w:rPr>
          <w:rFonts w:ascii="Times New Roman" w:eastAsia="Times New Roman" w:hAnsi="Times New Roman" w:cs="Times New Roman"/>
          <w:sz w:val="22"/>
        </w:rPr>
        <w:t>In 2022, the turnover of retail trade and catering companies increased. According to preliminary data, the turnover of companies in reta</w:t>
      </w:r>
      <w:r>
        <w:rPr>
          <w:rFonts w:ascii="Times New Roman" w:eastAsia="Times New Roman" w:hAnsi="Times New Roman" w:cs="Times New Roman"/>
          <w:sz w:val="22"/>
        </w:rPr>
        <w:t>il trade, except for trade in motor vehicles and motorcycles, in 2022 amounted to EUR 18 billion and compared to 2021, after removing the influence of the number of working days, it increased by 0.8 % at constant prices. During the year, the turnover of ca</w:t>
      </w:r>
      <w:r>
        <w:rPr>
          <w:rFonts w:ascii="Times New Roman" w:eastAsia="Times New Roman" w:hAnsi="Times New Roman" w:cs="Times New Roman"/>
          <w:sz w:val="22"/>
        </w:rPr>
        <w:t>tering and beverage companies increased by 39.6 % at constant prices and amounted to EUR 1.3 billion.</w:t>
      </w:r>
    </w:p>
    <w:p w:rsidR="00A37E99" w:rsidRDefault="00E74D2D">
      <w:pPr>
        <w:spacing w:before="240" w:after="240"/>
        <w:jc w:val="both"/>
      </w:pPr>
      <w:r>
        <w:rPr>
          <w:rFonts w:ascii="Times New Roman" w:eastAsia="Times New Roman" w:hAnsi="Times New Roman" w:cs="Times New Roman"/>
          <w:sz w:val="22"/>
        </w:rPr>
        <w:t>Lithuania, like other countries, faced increased energy and food prices. The annual inflation (in December 2022 compared to December 2021) was 21.7 %. The</w:t>
      </w:r>
      <w:r>
        <w:rPr>
          <w:rFonts w:ascii="Times New Roman" w:eastAsia="Times New Roman" w:hAnsi="Times New Roman" w:cs="Times New Roman"/>
          <w:sz w:val="22"/>
        </w:rPr>
        <w:t xml:space="preserve"> total annual price change was mainly caused by the increase in the prices of housing-related goods and services, water, electricity, gas and other fuels - 48.3 %, food products and non-alcoholic beverages - 34.7 %, as well as other goods and services. Dur</w:t>
      </w:r>
      <w:r>
        <w:rPr>
          <w:rFonts w:ascii="Times New Roman" w:eastAsia="Times New Roman" w:hAnsi="Times New Roman" w:cs="Times New Roman"/>
          <w:sz w:val="22"/>
        </w:rPr>
        <w:t>ing 2022, consumer goods rose in price by 25.2 % and services by 13.2 %.</w:t>
      </w:r>
    </w:p>
    <w:p w:rsidR="00A37E99" w:rsidRDefault="00E74D2D">
      <w:pPr>
        <w:spacing w:before="240" w:after="240"/>
        <w:jc w:val="both"/>
      </w:pPr>
      <w:r>
        <w:rPr>
          <w:rFonts w:ascii="Times New Roman" w:eastAsia="Times New Roman" w:hAnsi="Times New Roman" w:cs="Times New Roman"/>
          <w:sz w:val="22"/>
        </w:rPr>
        <w:t>Looking at the labour market indicators, it can be considered that in 2022 the situation on the labour market continued to improve. Employment increased, the number of unemployed decr</w:t>
      </w:r>
      <w:r>
        <w:rPr>
          <w:rFonts w:ascii="Times New Roman" w:eastAsia="Times New Roman" w:hAnsi="Times New Roman" w:cs="Times New Roman"/>
          <w:sz w:val="22"/>
        </w:rPr>
        <w:t>eased. In 2022, the unemployment rate in the country was 5.9 %, or 1.2 percentage points lower than in 2021. According to preliminary data, in 2022 the average monthly gross (before tax) wages, including sole proprietorships, increased by 13 % or EUR 206 c</w:t>
      </w:r>
      <w:r>
        <w:rPr>
          <w:rFonts w:ascii="Times New Roman" w:eastAsia="Times New Roman" w:hAnsi="Times New Roman" w:cs="Times New Roman"/>
          <w:sz w:val="22"/>
        </w:rPr>
        <w:t>ompared to 2021, and amounted to EUR 1,785.4.</w:t>
      </w:r>
    </w:p>
    <w:p w:rsidR="00A37E99" w:rsidRDefault="00E74D2D">
      <w:pPr>
        <w:spacing w:before="240" w:after="240"/>
        <w:jc w:val="both"/>
      </w:pPr>
      <w:r>
        <w:rPr>
          <w:rFonts w:ascii="Times New Roman" w:eastAsia="Times New Roman" w:hAnsi="Times New Roman" w:cs="Times New Roman"/>
          <w:sz w:val="22"/>
        </w:rPr>
        <w:lastRenderedPageBreak/>
        <w:t>The population of Lithuania, which has been decreasing for a long time, increased by 54 thousand in 2022. On 1 January 2023, 2 million 860 thousand permanent residents lived in Lithuania. The change in the numb</w:t>
      </w:r>
      <w:r>
        <w:rPr>
          <w:rFonts w:ascii="Times New Roman" w:eastAsia="Times New Roman" w:hAnsi="Times New Roman" w:cs="Times New Roman"/>
          <w:sz w:val="22"/>
        </w:rPr>
        <w:t>er of permanent residents was influenced by the increase in positive net international migration due to the large number of war refugees from Ukraine. In 2022, 81 thousand foreigners immigrated to the country (85 % of all immigrants). The majority (61.5 th</w:t>
      </w:r>
      <w:r>
        <w:rPr>
          <w:rFonts w:ascii="Times New Roman" w:eastAsia="Times New Roman" w:hAnsi="Times New Roman" w:cs="Times New Roman"/>
          <w:sz w:val="22"/>
        </w:rPr>
        <w:t>ousand or 75.9 %) are citizens of Ukraine.</w:t>
      </w:r>
    </w:p>
    <w:p w:rsidR="00A37E99" w:rsidRDefault="00E74D2D">
      <w:pPr>
        <w:spacing w:before="240" w:after="240"/>
        <w:jc w:val="both"/>
      </w:pPr>
      <w:r>
        <w:rPr>
          <w:rFonts w:ascii="Times New Roman" w:eastAsia="Times New Roman" w:hAnsi="Times New Roman" w:cs="Times New Roman"/>
          <w:sz w:val="22"/>
        </w:rPr>
        <w:t>The Government of the Republic of Lithuania is implementing a range of reforms in fields of education, innovation, health and taxation, as well as measures to achieve its goals in these areas.</w:t>
      </w:r>
    </w:p>
    <w:p w:rsidR="00A37E99" w:rsidRDefault="00E74D2D">
      <w:pPr>
        <w:spacing w:before="240" w:after="240"/>
        <w:jc w:val="both"/>
      </w:pPr>
      <w:r>
        <w:rPr>
          <w:rFonts w:ascii="Times New Roman" w:eastAsia="Times New Roman" w:hAnsi="Times New Roman" w:cs="Times New Roman"/>
          <w:sz w:val="22"/>
        </w:rPr>
        <w:t>Programmes are uniqu</w:t>
      </w:r>
      <w:r>
        <w:rPr>
          <w:rFonts w:ascii="Times New Roman" w:eastAsia="Times New Roman" w:hAnsi="Times New Roman" w:cs="Times New Roman"/>
          <w:sz w:val="22"/>
        </w:rPr>
        <w:t>e in that they often fund innovation and allow for testing practices transferred from donors or other countries. Examples of innovation have been documented in various programmes, such as the multidimensional family therapy programme or the welfare counsel</w:t>
      </w:r>
      <w:r>
        <w:rPr>
          <w:rFonts w:ascii="Times New Roman" w:eastAsia="Times New Roman" w:hAnsi="Times New Roman" w:cs="Times New Roman"/>
          <w:sz w:val="22"/>
        </w:rPr>
        <w:t xml:space="preserve">ling services in the Health Programme, the heritage prevention activities, or the promotion of local cultural entrepreneurship in the Culture programme, the research on the storage of bituminous radioactive waste in the Environment programme, etc. </w:t>
      </w:r>
    </w:p>
    <w:p w:rsidR="00A37E99" w:rsidRDefault="00E74D2D">
      <w:pPr>
        <w:spacing w:before="240" w:after="240"/>
        <w:jc w:val="both"/>
      </w:pPr>
      <w:r>
        <w:rPr>
          <w:rFonts w:ascii="Times New Roman" w:eastAsia="Times New Roman" w:hAnsi="Times New Roman" w:cs="Times New Roman"/>
          <w:sz w:val="22"/>
        </w:rPr>
        <w:t>The lik</w:t>
      </w:r>
      <w:r>
        <w:rPr>
          <w:rFonts w:ascii="Times New Roman" w:eastAsia="Times New Roman" w:hAnsi="Times New Roman" w:cs="Times New Roman"/>
          <w:sz w:val="22"/>
        </w:rPr>
        <w:t>ely significant impact of health and culture programmes on the emotional health of the population will have wider social and economic effects. These impacts are felt in the labour market through returns to the labour market and in the public sector through</w:t>
      </w:r>
      <w:r>
        <w:rPr>
          <w:rFonts w:ascii="Times New Roman" w:eastAsia="Times New Roman" w:hAnsi="Times New Roman" w:cs="Times New Roman"/>
          <w:sz w:val="22"/>
        </w:rPr>
        <w:t xml:space="preserve"> savings, as some services, such as addiction treatment, will not be needed if these problems are prevented in time by Health Programme interventions. Cultural Programme interventions reduce cultural exclusion and contribute to people's emotional health, e</w:t>
      </w:r>
      <w:r>
        <w:rPr>
          <w:rFonts w:ascii="Times New Roman" w:eastAsia="Times New Roman" w:hAnsi="Times New Roman" w:cs="Times New Roman"/>
          <w:sz w:val="22"/>
        </w:rPr>
        <w:t>specially in the regions. In this way, the situation of the person who has participated in the programme and that of their family and community is positively affected. The Culture Programme, through the "Fixus mobilis" project, also has a broader impact by</w:t>
      </w:r>
      <w:r>
        <w:rPr>
          <w:rFonts w:ascii="Times New Roman" w:eastAsia="Times New Roman" w:hAnsi="Times New Roman" w:cs="Times New Roman"/>
          <w:sz w:val="22"/>
        </w:rPr>
        <w:t xml:space="preserve"> helping preserve cultural heritage assets relevant to our society today and for future generations.</w:t>
      </w:r>
    </w:p>
    <w:p w:rsidR="00A37E99" w:rsidRDefault="00E74D2D">
      <w:pPr>
        <w:spacing w:before="240" w:after="240"/>
        <w:jc w:val="both"/>
      </w:pPr>
      <w:r>
        <w:rPr>
          <w:rFonts w:ascii="Times New Roman" w:eastAsia="Times New Roman" w:hAnsi="Times New Roman" w:cs="Times New Roman"/>
          <w:sz w:val="22"/>
        </w:rPr>
        <w:t>Investments of the Justice and Home Affairs programme should improve the work of justice chain services and strengthen the enforcement of human rights. The</w:t>
      </w:r>
      <w:r>
        <w:rPr>
          <w:rFonts w:ascii="Times New Roman" w:eastAsia="Times New Roman" w:hAnsi="Times New Roman" w:cs="Times New Roman"/>
          <w:sz w:val="22"/>
        </w:rPr>
        <w:t xml:space="preserve"> funds of the Justice and Home Affairs programme were invested in improving services and infrastructure in Lithuanian courts, in modernizing the activities of the prosecutor's office and increasing the efficiency of criminal prosecution, in inter-agency co</w:t>
      </w:r>
      <w:r>
        <w:rPr>
          <w:rFonts w:ascii="Times New Roman" w:eastAsia="Times New Roman" w:hAnsi="Times New Roman" w:cs="Times New Roman"/>
          <w:sz w:val="22"/>
        </w:rPr>
        <w:t>operation, improving the quality of crime investigations in the Lithuanian police, in strengthening competences in order to protect victims of domestic and gender violence. Taking into account the activities carried out, the amount of funds allocated and t</w:t>
      </w:r>
      <w:r>
        <w:rPr>
          <w:rFonts w:ascii="Times New Roman" w:eastAsia="Times New Roman" w:hAnsi="Times New Roman" w:cs="Times New Roman"/>
          <w:sz w:val="22"/>
        </w:rPr>
        <w:t xml:space="preserve">he fact that funds from financial mechanisms are the main source of funding for changes in the justice, tangible changes in the activities of services and institutions and better protection of public interest and human rights can be expected (ensuring the </w:t>
      </w:r>
      <w:r>
        <w:rPr>
          <w:rFonts w:ascii="Times New Roman" w:eastAsia="Times New Roman" w:hAnsi="Times New Roman" w:cs="Times New Roman"/>
          <w:sz w:val="22"/>
        </w:rPr>
        <w:t>right to inviolability of human dignity, to a fair trial).</w:t>
      </w:r>
    </w:p>
    <w:p w:rsidR="00A37E99" w:rsidRDefault="00E74D2D">
      <w:pPr>
        <w:spacing w:before="240" w:after="240"/>
        <w:jc w:val="both"/>
      </w:pPr>
      <w:r>
        <w:rPr>
          <w:rFonts w:ascii="Times New Roman" w:eastAsia="Times New Roman" w:hAnsi="Times New Roman" w:cs="Times New Roman"/>
          <w:sz w:val="22"/>
        </w:rPr>
        <w:t>Systematic changes are sought in the system of execution of punishments, more favourable conditions are created for the return of convicts to society. The largest project of financial mechanisms is</w:t>
      </w:r>
      <w:r>
        <w:rPr>
          <w:rFonts w:ascii="Times New Roman" w:eastAsia="Times New Roman" w:hAnsi="Times New Roman" w:cs="Times New Roman"/>
          <w:sz w:val="22"/>
        </w:rPr>
        <w:t xml:space="preserve"> implemented in the Justice programme (allocated funding amounts to over EUR 20 million). It is implemented by the Department of Prisons under the Ministry of Justice of the Republic of Lithuania together with project partners from Lithuania and Norway. Th</w:t>
      </w:r>
      <w:r>
        <w:rPr>
          <w:rFonts w:ascii="Times New Roman" w:eastAsia="Times New Roman" w:hAnsi="Times New Roman" w:cs="Times New Roman"/>
          <w:sz w:val="22"/>
        </w:rPr>
        <w:t>e project continues the changes initiated in the previous programming period with the funds of financial mechanisms in the system of execution of punishments. The impact of the project is systemic, as it is related to changing the attitude towards detainee</w:t>
      </w:r>
      <w:r>
        <w:rPr>
          <w:rFonts w:ascii="Times New Roman" w:eastAsia="Times New Roman" w:hAnsi="Times New Roman" w:cs="Times New Roman"/>
          <w:sz w:val="22"/>
        </w:rPr>
        <w:t xml:space="preserve">s and prisoners and improving the conditions of resocialization. A dynamic security practice is implemented, </w:t>
      </w:r>
      <w:r>
        <w:rPr>
          <w:rFonts w:ascii="Times New Roman" w:eastAsia="Times New Roman" w:hAnsi="Times New Roman" w:cs="Times New Roman"/>
          <w:sz w:val="22"/>
        </w:rPr>
        <w:lastRenderedPageBreak/>
        <w:t>which is characterized by a positive personal relationship between officers and detainees and prisoners, aiming to get to know each person well and</w:t>
      </w:r>
      <w:r>
        <w:rPr>
          <w:rFonts w:ascii="Times New Roman" w:eastAsia="Times New Roman" w:hAnsi="Times New Roman" w:cs="Times New Roman"/>
          <w:sz w:val="22"/>
        </w:rPr>
        <w:t xml:space="preserve"> provide them with meaningful activities, thus ensuring a safe environment for officers and detained and imprisoned persons. Investments are also made in improving the prison conditions of convicts in other ways and in their resocialization. Programmes for</w:t>
      </w:r>
      <w:r>
        <w:rPr>
          <w:rFonts w:ascii="Times New Roman" w:eastAsia="Times New Roman" w:hAnsi="Times New Roman" w:cs="Times New Roman"/>
          <w:sz w:val="22"/>
        </w:rPr>
        <w:t xml:space="preserve"> those suffering from addictions, anger management programmes are implemented, employment of convicts is expanded and conditions are created for meaningful activities. Non-governmental organizations are included in the process of resocialization of convict</w:t>
      </w:r>
      <w:r>
        <w:rPr>
          <w:rFonts w:ascii="Times New Roman" w:eastAsia="Times New Roman" w:hAnsi="Times New Roman" w:cs="Times New Roman"/>
          <w:sz w:val="22"/>
        </w:rPr>
        <w:t xml:space="preserve">s. Places are being set up in half-way houses, where new effective resocialization methods are applied, helping people to change their lifestyle faster and return to society. Interventions should improve the protection of human rights and human dignity in </w:t>
      </w:r>
      <w:r>
        <w:rPr>
          <w:rFonts w:ascii="Times New Roman" w:eastAsia="Times New Roman" w:hAnsi="Times New Roman" w:cs="Times New Roman"/>
          <w:sz w:val="22"/>
        </w:rPr>
        <w:t>places of recapture and facilitate the reintegration of convicts into society. In the long term, greater public safety can be expected.</w:t>
      </w:r>
    </w:p>
    <w:p w:rsidR="00A37E99" w:rsidRDefault="00E74D2D">
      <w:pPr>
        <w:spacing w:before="240" w:after="240"/>
        <w:jc w:val="both"/>
      </w:pPr>
      <w:r>
        <w:rPr>
          <w:rFonts w:ascii="Times New Roman" w:eastAsia="Times New Roman" w:hAnsi="Times New Roman" w:cs="Times New Roman"/>
          <w:sz w:val="22"/>
        </w:rPr>
        <w:t>All Innovation Programme projects have partners from Norway. It is noticeable, that the Programme encourages other partnerships between Lithuania and Norway, not only those supported by financial mechanisms. The impact of the Innovation programme on Norweg</w:t>
      </w:r>
      <w:r>
        <w:rPr>
          <w:rFonts w:ascii="Times New Roman" w:eastAsia="Times New Roman" w:hAnsi="Times New Roman" w:cs="Times New Roman"/>
          <w:sz w:val="22"/>
        </w:rPr>
        <w:t>ian companies, in addition to the joint development of product or service and the strengthening of business relations with Lithuania, is the internationalization of companies. By becoming familiar with Lithuanian business and opportunities, Norwegian compa</w:t>
      </w:r>
      <w:r>
        <w:rPr>
          <w:rFonts w:ascii="Times New Roman" w:eastAsia="Times New Roman" w:hAnsi="Times New Roman" w:cs="Times New Roman"/>
          <w:sz w:val="22"/>
        </w:rPr>
        <w:t xml:space="preserve">nies simultaneously strengthen their competences to operate in Central and Eastern Europe. </w:t>
      </w:r>
    </w:p>
    <w:p w:rsidR="00A37E99" w:rsidRDefault="00E74D2D">
      <w:pPr>
        <w:spacing w:before="240" w:after="240"/>
        <w:jc w:val="both"/>
      </w:pPr>
      <w:r>
        <w:rPr>
          <w:rFonts w:ascii="Times New Roman" w:eastAsia="Times New Roman" w:hAnsi="Times New Roman" w:cs="Times New Roman"/>
          <w:sz w:val="22"/>
        </w:rPr>
        <w:t>Most of the projects in the Environment Programme can be classified as research and preparatory activities, which pave the way for better solutions to environmental</w:t>
      </w:r>
      <w:r>
        <w:rPr>
          <w:rFonts w:ascii="Times New Roman" w:eastAsia="Times New Roman" w:hAnsi="Times New Roman" w:cs="Times New Roman"/>
          <w:sz w:val="22"/>
        </w:rPr>
        <w:t xml:space="preserve"> pollution and safety issues. The Environment Programme's most significant project in financial terms is investing in an information and warning system in case of a nuclear accident. Once completed, the project will have a significant benefit in terms of t</w:t>
      </w:r>
      <w:r>
        <w:rPr>
          <w:rFonts w:ascii="Times New Roman" w:eastAsia="Times New Roman" w:hAnsi="Times New Roman" w:cs="Times New Roman"/>
          <w:sz w:val="22"/>
        </w:rPr>
        <w:t>he earliest possible response in the event of a nuclear accident and the potential to minimise negative impacts on the population's health. The project is not only of national but also of international relevance.</w:t>
      </w:r>
    </w:p>
    <w:p w:rsidR="00A37E99" w:rsidRDefault="00E74D2D">
      <w:pPr>
        <w:spacing w:before="240" w:after="240"/>
        <w:jc w:val="both"/>
      </w:pPr>
      <w:r>
        <w:rPr>
          <w:rFonts w:ascii="Times New Roman" w:eastAsia="Times New Roman" w:hAnsi="Times New Roman" w:cs="Times New Roman"/>
          <w:sz w:val="22"/>
        </w:rPr>
        <w:t>Impact assessment of research projects in t</w:t>
      </w:r>
      <w:r>
        <w:rPr>
          <w:rFonts w:ascii="Times New Roman" w:eastAsia="Times New Roman" w:hAnsi="Times New Roman" w:cs="Times New Roman"/>
          <w:sz w:val="22"/>
        </w:rPr>
        <w:t>he Research Programme is a distinct field outside the regular practice of programme impact assessment. However, the likely viability and usefulness of the research projects are reflected in the fact that the projects have been selected in collaboration wit</w:t>
      </w:r>
      <w:r>
        <w:rPr>
          <w:rFonts w:ascii="Times New Roman" w:eastAsia="Times New Roman" w:hAnsi="Times New Roman" w:cs="Times New Roman"/>
          <w:sz w:val="22"/>
        </w:rPr>
        <w:t>h international experts. The projects are implemented in different scientific fields and focus on slightly or not interlinked problems, therefore the impact of the programme is fragmented. The Research Programme is unique in this programming period in that</w:t>
      </w:r>
      <w:r>
        <w:rPr>
          <w:rFonts w:ascii="Times New Roman" w:eastAsia="Times New Roman" w:hAnsi="Times New Roman" w:cs="Times New Roman"/>
          <w:sz w:val="22"/>
        </w:rPr>
        <w:t xml:space="preserve"> it is implemented in Lithuania and jointly Latvia, and Estonia. This model strengthens synergies between the Baltic researchers.</w:t>
      </w:r>
    </w:p>
    <w:p w:rsidR="00A37E99" w:rsidRDefault="00E74D2D">
      <w:pPr>
        <w:spacing w:before="240" w:after="240"/>
        <w:jc w:val="both"/>
      </w:pPr>
      <w:r>
        <w:rPr>
          <w:rFonts w:ascii="Times New Roman" w:eastAsia="Times New Roman" w:hAnsi="Times New Roman" w:cs="Times New Roman"/>
          <w:sz w:val="22"/>
        </w:rPr>
        <w:t>Grants also contributed/are planned to contribute to the mitigation of the Ukrainian refugee crisis in Lithuania. Following russia’s invasion of Ukraine and subsequent humanitarian crisis, the Donor States had made it possible to use available funds from t</w:t>
      </w:r>
      <w:r>
        <w:rPr>
          <w:rFonts w:ascii="Times New Roman" w:eastAsia="Times New Roman" w:hAnsi="Times New Roman" w:cs="Times New Roman"/>
          <w:sz w:val="22"/>
        </w:rPr>
        <w:t xml:space="preserve">he EEA and Norway Grants for such purpose. Since the Bilateral Fund was considered as the most appropriate source of funding, the JCBF had approved funding (amounting EUR 367,500  in total) to three projects aiming to address Ukrainian refugee needs. </w:t>
      </w:r>
    </w:p>
    <w:p w:rsidR="00A37E99" w:rsidRDefault="00E74D2D">
      <w:pPr>
        <w:spacing w:before="240" w:after="240"/>
        <w:jc w:val="both"/>
      </w:pPr>
      <w:r>
        <w:rPr>
          <w:rFonts w:ascii="Times New Roman" w:eastAsia="Times New Roman" w:hAnsi="Times New Roman" w:cs="Times New Roman"/>
          <w:sz w:val="22"/>
        </w:rPr>
        <w:t>Firs</w:t>
      </w:r>
      <w:r>
        <w:rPr>
          <w:rFonts w:ascii="Times New Roman" w:eastAsia="Times New Roman" w:hAnsi="Times New Roman" w:cs="Times New Roman"/>
          <w:sz w:val="22"/>
        </w:rPr>
        <w:t>t project “</w:t>
      </w:r>
      <w:hyperlink r:id="rId14" w:history="1">
        <w:r>
          <w:rPr>
            <w:rFonts w:ascii="Times New Roman" w:eastAsia="Times New Roman" w:hAnsi="Times New Roman" w:cs="Times New Roman"/>
            <w:color w:val="0000EE"/>
            <w:sz w:val="22"/>
            <w:u w:val="single" w:color="0000EE"/>
          </w:rPr>
          <w:t>UA+LT=TULA. Mutual integration of Lithuanian and Ukrainian Families</w:t>
        </w:r>
      </w:hyperlink>
      <w:r>
        <w:rPr>
          <w:rFonts w:ascii="Times New Roman" w:eastAsia="Times New Roman" w:hAnsi="Times New Roman" w:cs="Times New Roman"/>
          <w:sz w:val="22"/>
        </w:rPr>
        <w:t xml:space="preserve">” was developed by local Ukrainian refugee community in collaboration with the Open Lithuania Foundation with the aim </w:t>
      </w:r>
      <w:r>
        <w:rPr>
          <w:rFonts w:ascii="Times New Roman" w:eastAsia="Times New Roman" w:hAnsi="Times New Roman" w:cs="Times New Roman"/>
          <w:sz w:val="22"/>
        </w:rPr>
        <w:t xml:space="preserve">to: 1. create safe and emotionally supportive environments/programmes for Ukrainian families in Lithuania; 2. to facilitate the integration of Ukrainian families and young people in Lithuania and the adoption of the common values </w:t>
      </w:r>
      <w:r>
        <w:rPr>
          <w:rFonts w:ascii="Times New Roman" w:eastAsia="Times New Roman" w:hAnsi="Times New Roman" w:cs="Times New Roman"/>
          <w:sz w:val="22"/>
        </w:rPr>
        <w:lastRenderedPageBreak/>
        <w:t>of human dignity, freedom,</w:t>
      </w:r>
      <w:r>
        <w:rPr>
          <w:rFonts w:ascii="Times New Roman" w:eastAsia="Times New Roman" w:hAnsi="Times New Roman" w:cs="Times New Roman"/>
          <w:sz w:val="22"/>
        </w:rPr>
        <w:t xml:space="preserve"> democracy, equality, rule of law, and human rights. The project activities focused on three-day camps/retreats that involved cultural exchange, art, sense-making conversation, lectures on parenthood, collaborative creation of dreams activities and family </w:t>
      </w:r>
      <w:r>
        <w:rPr>
          <w:rFonts w:ascii="Times New Roman" w:eastAsia="Times New Roman" w:hAnsi="Times New Roman" w:cs="Times New Roman"/>
          <w:sz w:val="22"/>
        </w:rPr>
        <w:t xml:space="preserve">gatherings that revolved around cultural exchange through games and songs, films, literature reading, acquaintances with prominent Ukrainian and Lithuanian personalities, lectures on psychology and self-help, etc. Although the project is still ongoing, it </w:t>
      </w:r>
      <w:r>
        <w:rPr>
          <w:rFonts w:ascii="Times New Roman" w:eastAsia="Times New Roman" w:hAnsi="Times New Roman" w:cs="Times New Roman"/>
          <w:sz w:val="22"/>
        </w:rPr>
        <w:t>has set a goal to reach and provide support for integration to around 1150 individuals, 70 % Ukrainians, and 30% Lithuanians, through 30 events.</w:t>
      </w:r>
    </w:p>
    <w:p w:rsidR="00A37E99" w:rsidRDefault="00E74D2D">
      <w:pPr>
        <w:spacing w:before="240" w:after="240"/>
        <w:jc w:val="both"/>
      </w:pPr>
      <w:r>
        <w:rPr>
          <w:rFonts w:ascii="Times New Roman" w:eastAsia="Times New Roman" w:hAnsi="Times New Roman" w:cs="Times New Roman"/>
          <w:sz w:val="22"/>
        </w:rPr>
        <w:t>Second project “A new format of education for Lithuanian-Ukrainian classes” was developed by Vilnius University</w:t>
      </w:r>
      <w:r>
        <w:rPr>
          <w:rFonts w:ascii="Times New Roman" w:eastAsia="Times New Roman" w:hAnsi="Times New Roman" w:cs="Times New Roman"/>
          <w:sz w:val="22"/>
        </w:rPr>
        <w:t xml:space="preserve"> of Applied Sciences. Since Ukrainian pupils who want to attend the Lithuanian schools face different obstacles to acquire quality education, such as a language barrier, cultural differences and different educational curriculum, the main goal of the projec</w:t>
      </w:r>
      <w:r>
        <w:rPr>
          <w:rFonts w:ascii="Times New Roman" w:eastAsia="Times New Roman" w:hAnsi="Times New Roman" w:cs="Times New Roman"/>
          <w:sz w:val="22"/>
        </w:rPr>
        <w:t>t is to empower the Lithuanian schools to ensure smooth and quality inclusion of the Ukrainian pupils. The project sets forth to select 20 Lithuanian schools with the highest number of the Ukrainian pupils and motivation and through online learning worksho</w:t>
      </w:r>
      <w:r>
        <w:rPr>
          <w:rFonts w:ascii="Times New Roman" w:eastAsia="Times New Roman" w:hAnsi="Times New Roman" w:cs="Times New Roman"/>
          <w:sz w:val="22"/>
        </w:rPr>
        <w:t>ps, 5-day face-to-face learning event, coaching and individual support to schools provide them with the training and skills on innovative approaches and methodologies how to manage diversity in the classroom and implement the principles of democratic educa</w:t>
      </w:r>
      <w:r>
        <w:rPr>
          <w:rFonts w:ascii="Times New Roman" w:eastAsia="Times New Roman" w:hAnsi="Times New Roman" w:cs="Times New Roman"/>
          <w:sz w:val="22"/>
        </w:rPr>
        <w:t>tion thus promoting smooth and quality inclusion of the Ukrainian pupils. Implementation of the project activities are planned for 2023.</w:t>
      </w:r>
    </w:p>
    <w:p w:rsidR="00A37E99" w:rsidRDefault="00E74D2D">
      <w:pPr>
        <w:spacing w:before="240" w:after="240"/>
        <w:jc w:val="both"/>
      </w:pPr>
      <w:r>
        <w:rPr>
          <w:rFonts w:ascii="Times New Roman" w:eastAsia="Times New Roman" w:hAnsi="Times New Roman" w:cs="Times New Roman"/>
          <w:sz w:val="22"/>
        </w:rPr>
        <w:t>Third project “Rethink Ukraine” was developed in cooperation of the Ukrainian and the Lithuanian civil society activist</w:t>
      </w:r>
      <w:r>
        <w:rPr>
          <w:rFonts w:ascii="Times New Roman" w:eastAsia="Times New Roman" w:hAnsi="Times New Roman" w:cs="Times New Roman"/>
          <w:sz w:val="22"/>
        </w:rPr>
        <w:t>s with the aim to provide a safe space for intellectual engagements between the Ukrainian, Lithuanian and other intellectuals to discuss, learn, strategize and co-create ideas of possible futures, as well as share these insights with a wider public in Lith</w:t>
      </w:r>
      <w:r>
        <w:rPr>
          <w:rFonts w:ascii="Times New Roman" w:eastAsia="Times New Roman" w:hAnsi="Times New Roman" w:cs="Times New Roman"/>
          <w:sz w:val="22"/>
        </w:rPr>
        <w:t xml:space="preserve">uania, Ukraine and abroad. Project activities revolve around public discussions with the prominent Ukrainian, Lithuanian and international thinkers, 3 internship grants allocated for young Ukrainian professionals (young journalists, activists or students; </w:t>
      </w:r>
      <w:r>
        <w:rPr>
          <w:rFonts w:ascii="Times New Roman" w:eastAsia="Times New Roman" w:hAnsi="Times New Roman" w:cs="Times New Roman"/>
          <w:sz w:val="22"/>
        </w:rPr>
        <w:t>20-35 years) to produce written material, relating to project activities and topics discussed by intellectuals and video productions in order to disseminate ideas and insights generated from discussions among the intellectuals for the broader European audi</w:t>
      </w:r>
      <w:r>
        <w:rPr>
          <w:rFonts w:ascii="Times New Roman" w:eastAsia="Times New Roman" w:hAnsi="Times New Roman" w:cs="Times New Roman"/>
          <w:sz w:val="22"/>
        </w:rPr>
        <w:t>ence, seeking to make the Ukrainian and Eastern European voices heard louder. The project is envisioned to be completed by the end of 2023.</w:t>
      </w:r>
    </w:p>
    <w:p w:rsidR="00A37E99" w:rsidRDefault="00E74D2D">
      <w:pPr>
        <w:spacing w:before="240" w:after="240"/>
        <w:jc w:val="both"/>
      </w:pPr>
      <w:r>
        <w:rPr>
          <w:rFonts w:ascii="Times New Roman" w:eastAsia="Times New Roman" w:hAnsi="Times New Roman" w:cs="Times New Roman"/>
          <w:sz w:val="22"/>
        </w:rPr>
        <w:t>Interestingly, the projects that received funding set forth not only to bring about their envisioned goals and targe</w:t>
      </w:r>
      <w:r>
        <w:rPr>
          <w:rFonts w:ascii="Times New Roman" w:eastAsia="Times New Roman" w:hAnsi="Times New Roman" w:cs="Times New Roman"/>
          <w:sz w:val="22"/>
        </w:rPr>
        <w:t>ts but also had a spill over effect on engagement and community building of Ukrainian refugee diaspora civil society which resulted in the establishment of “</w:t>
      </w:r>
      <w:hyperlink r:id="rId15" w:history="1">
        <w:r>
          <w:rPr>
            <w:rFonts w:ascii="Times New Roman" w:eastAsia="Times New Roman" w:hAnsi="Times New Roman" w:cs="Times New Roman"/>
            <w:color w:val="0000EE"/>
            <w:sz w:val="22"/>
            <w:u w:val="single" w:color="0000EE"/>
          </w:rPr>
          <w:t>Ukreate Hub</w:t>
        </w:r>
      </w:hyperlink>
      <w:r>
        <w:rPr>
          <w:rFonts w:ascii="Times New Roman" w:eastAsia="Times New Roman" w:hAnsi="Times New Roman" w:cs="Times New Roman"/>
          <w:sz w:val="22"/>
        </w:rPr>
        <w:t>” - network of active people of Ukrainian civil society (teachers, academics, intellectuals, journalists and cultural activists). The long term aim is to contribute to the strengthening of Ukrainian civil society and to the preparation f</w:t>
      </w:r>
      <w:r>
        <w:rPr>
          <w:rFonts w:ascii="Times New Roman" w:eastAsia="Times New Roman" w:hAnsi="Times New Roman" w:cs="Times New Roman"/>
          <w:sz w:val="22"/>
        </w:rPr>
        <w:t>or the return to rebuild Ukraine. Hub’s roadmap includes intellectual discussions on rethinking Ukrainian future, brainstorming workshops, project incubation, internship programmes, and residence for human right activists etc.</w:t>
      </w:r>
    </w:p>
    <w:p w:rsidR="00FD53F5" w:rsidRPr="0004386F" w:rsidRDefault="00E74D2D" w:rsidP="00FD53F5">
      <w:pPr>
        <w:pStyle w:val="Antrat1"/>
        <w:rPr>
          <w:rFonts w:cs="Arial"/>
          <w:szCs w:val="22"/>
        </w:rPr>
      </w:pPr>
      <w:bookmarkStart w:id="5" w:name="_Toc256000002"/>
      <w:r w:rsidRPr="0004386F">
        <w:rPr>
          <w:rFonts w:cs="Arial"/>
          <w:szCs w:val="22"/>
        </w:rPr>
        <w:t>3.</w:t>
      </w:r>
      <w:r w:rsidRPr="0004386F">
        <w:rPr>
          <w:rFonts w:cs="Arial"/>
          <w:szCs w:val="22"/>
        </w:rPr>
        <w:tab/>
      </w:r>
      <w:r w:rsidR="00A17BC5" w:rsidRPr="0004386F">
        <w:rPr>
          <w:rFonts w:cs="Arial"/>
          <w:szCs w:val="22"/>
        </w:rPr>
        <w:t>Status of programmes</w:t>
      </w:r>
      <w:bookmarkEnd w:id="5"/>
    </w:p>
    <w:p w:rsidR="00A37E99" w:rsidRDefault="00E74D2D">
      <w:pPr>
        <w:pStyle w:val="Antrat2"/>
        <w:spacing w:after="299"/>
        <w:rPr>
          <w:rFonts w:ascii="Calibri" w:eastAsia="Calibri" w:hAnsi="Calibri" w:cs="Calibri"/>
          <w:bCs/>
          <w:color w:val="2E74B5"/>
          <w:sz w:val="36"/>
          <w:szCs w:val="36"/>
        </w:rPr>
      </w:pPr>
      <w:bookmarkStart w:id="6" w:name="_Toc256000003"/>
      <w:r>
        <w:t>GENER</w:t>
      </w:r>
      <w:r>
        <w:t>AL</w:t>
      </w:r>
      <w:bookmarkEnd w:id="6"/>
      <w:r>
        <w:t xml:space="preserve"> </w:t>
      </w:r>
    </w:p>
    <w:p w:rsidR="00A37E99" w:rsidRDefault="00E74D2D">
      <w:pPr>
        <w:spacing w:before="240" w:after="240"/>
      </w:pPr>
      <w:r>
        <w:t>The situation about each programme is described in the programm's chapter below.</w:t>
      </w:r>
    </w:p>
    <w:p w:rsidR="00A37E99" w:rsidRDefault="00E74D2D">
      <w:pPr>
        <w:pStyle w:val="Antrat2"/>
        <w:spacing w:before="299" w:after="299"/>
        <w:rPr>
          <w:rFonts w:ascii="Calibri" w:eastAsia="Calibri" w:hAnsi="Calibri" w:cs="Calibri"/>
          <w:bCs/>
          <w:color w:val="2E74B5"/>
          <w:sz w:val="36"/>
          <w:szCs w:val="36"/>
        </w:rPr>
      </w:pPr>
      <w:bookmarkStart w:id="7" w:name="_Toc256000004"/>
      <w:r>
        <w:lastRenderedPageBreak/>
        <w:t>LT-JUSTICE Justice and Home Affairs</w:t>
      </w:r>
      <w:bookmarkEnd w:id="7"/>
    </w:p>
    <w:p w:rsidR="00A37E99" w:rsidRDefault="00E74D2D">
      <w:pPr>
        <w:spacing w:before="240" w:after="240"/>
      </w:pPr>
      <w:r>
        <w:t> </w:t>
      </w:r>
    </w:p>
    <w:tbl>
      <w:tblPr>
        <w:tblW w:w="9780"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960"/>
        <w:gridCol w:w="6820"/>
      </w:tblGrid>
      <w:tr w:rsidR="00A37E99">
        <w:trPr>
          <w:trHeight w:val="360"/>
          <w:tblCellSpacing w:w="15" w:type="dxa"/>
        </w:trPr>
        <w:tc>
          <w:tcPr>
            <w:tcW w:w="984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COMMON INFORMATION:</w:t>
            </w:r>
          </w:p>
        </w:tc>
      </w:tr>
      <w:tr w:rsidR="00A37E99">
        <w:trPr>
          <w:trHeight w:val="51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PO: </w:t>
            </w:r>
            <w:r>
              <w:rPr>
                <w:rFonts w:ascii="Times New Roman" w:eastAsia="Times New Roman" w:hAnsi="Times New Roman" w:cs="Times New Roman"/>
                <w:color w:val="000000"/>
                <w:szCs w:val="20"/>
              </w:rPr>
              <w:t>CPMA.</w:t>
            </w:r>
          </w:p>
          <w:p w:rsidR="00A37E99" w:rsidRDefault="00E74D2D">
            <w:pPr>
              <w:spacing w:before="240" w:after="240"/>
              <w:rPr>
                <w:color w:val="000000"/>
              </w:rPr>
            </w:pPr>
            <w:r>
              <w:rPr>
                <w:rFonts w:ascii="Times New Roman" w:eastAsia="Times New Roman" w:hAnsi="Times New Roman" w:cs="Times New Roman"/>
                <w:b/>
                <w:bCs/>
                <w:color w:val="000000"/>
                <w:szCs w:val="20"/>
              </w:rPr>
              <w:t xml:space="preserve">DPP(s): </w:t>
            </w:r>
          </w:p>
          <w:p w:rsidR="00A37E99" w:rsidRDefault="00E74D2D">
            <w:pPr>
              <w:spacing w:before="240" w:after="240"/>
              <w:rPr>
                <w:color w:val="000000"/>
              </w:rPr>
            </w:pPr>
            <w:r>
              <w:rPr>
                <w:rFonts w:ascii="Times New Roman" w:eastAsia="Times New Roman" w:hAnsi="Times New Roman" w:cs="Times New Roman"/>
                <w:color w:val="000000"/>
                <w:szCs w:val="20"/>
              </w:rPr>
              <w:t xml:space="preserve">The Norwegian Ministry of Justice; </w:t>
            </w:r>
          </w:p>
          <w:p w:rsidR="00A37E99" w:rsidRDefault="00E74D2D">
            <w:pPr>
              <w:spacing w:before="240" w:after="240"/>
              <w:rPr>
                <w:color w:val="000000"/>
              </w:rPr>
            </w:pPr>
            <w:r>
              <w:rPr>
                <w:rFonts w:ascii="Times New Roman" w:eastAsia="Times New Roman" w:hAnsi="Times New Roman" w:cs="Times New Roman"/>
                <w:color w:val="000000"/>
                <w:szCs w:val="20"/>
              </w:rPr>
              <w:t xml:space="preserve">The Directorate of Norwegian </w:t>
            </w:r>
            <w:r>
              <w:rPr>
                <w:rFonts w:ascii="Times New Roman" w:eastAsia="Times New Roman" w:hAnsi="Times New Roman" w:cs="Times New Roman"/>
                <w:color w:val="000000"/>
                <w:szCs w:val="20"/>
              </w:rPr>
              <w:t>Correctional Service;</w:t>
            </w:r>
          </w:p>
          <w:p w:rsidR="00A37E99" w:rsidRDefault="00E74D2D">
            <w:pPr>
              <w:spacing w:before="240" w:after="240"/>
              <w:rPr>
                <w:color w:val="000000"/>
              </w:rPr>
            </w:pPr>
            <w:r>
              <w:rPr>
                <w:rFonts w:ascii="Times New Roman" w:eastAsia="Times New Roman" w:hAnsi="Times New Roman" w:cs="Times New Roman"/>
                <w:color w:val="000000"/>
                <w:szCs w:val="20"/>
              </w:rPr>
              <w:t>The Norwegian Courts Administration;</w:t>
            </w:r>
          </w:p>
          <w:p w:rsidR="00A37E99" w:rsidRDefault="00E74D2D">
            <w:pPr>
              <w:spacing w:before="240" w:after="240"/>
              <w:rPr>
                <w:color w:val="000000"/>
              </w:rPr>
            </w:pPr>
            <w:r>
              <w:rPr>
                <w:rFonts w:ascii="Times New Roman" w:eastAsia="Times New Roman" w:hAnsi="Times New Roman" w:cs="Times New Roman"/>
                <w:color w:val="000000"/>
                <w:szCs w:val="20"/>
              </w:rPr>
              <w:t>The National Police Directorate.</w:t>
            </w:r>
          </w:p>
          <w:p w:rsidR="00A37E99" w:rsidRDefault="00E74D2D">
            <w:pPr>
              <w:spacing w:before="240" w:after="240"/>
              <w:rPr>
                <w:color w:val="000000"/>
              </w:rPr>
            </w:pPr>
            <w:r>
              <w:rPr>
                <w:rFonts w:ascii="Times New Roman" w:eastAsia="Times New Roman" w:hAnsi="Times New Roman" w:cs="Times New Roman"/>
                <w:b/>
                <w:bCs/>
                <w:color w:val="000000"/>
                <w:szCs w:val="20"/>
              </w:rPr>
              <w:t>Other Programme Partner(s):</w:t>
            </w:r>
            <w:r>
              <w:rPr>
                <w:rFonts w:ascii="Calibri" w:eastAsia="Calibri" w:hAnsi="Calibri" w:cs="Calibri"/>
                <w:color w:val="000000"/>
                <w:sz w:val="22"/>
              </w:rPr>
              <w:t xml:space="preserve"> </w:t>
            </w:r>
          </w:p>
          <w:p w:rsidR="00A37E99" w:rsidRDefault="00E74D2D">
            <w:pPr>
              <w:spacing w:before="240" w:after="240"/>
              <w:rPr>
                <w:color w:val="000000"/>
              </w:rPr>
            </w:pPr>
            <w:r>
              <w:rPr>
                <w:rFonts w:ascii="Times New Roman" w:eastAsia="Times New Roman" w:hAnsi="Times New Roman" w:cs="Times New Roman"/>
                <w:color w:val="000000"/>
                <w:szCs w:val="20"/>
              </w:rPr>
              <w:t>The Ministry of Justice of the Republic of Lithuania;</w:t>
            </w:r>
          </w:p>
          <w:p w:rsidR="00A37E99" w:rsidRDefault="00E74D2D">
            <w:pPr>
              <w:spacing w:before="240" w:after="240"/>
              <w:rPr>
                <w:color w:val="000000"/>
              </w:rPr>
            </w:pPr>
            <w:r>
              <w:rPr>
                <w:rFonts w:ascii="Times New Roman" w:eastAsia="Times New Roman" w:hAnsi="Times New Roman" w:cs="Times New Roman"/>
                <w:color w:val="000000"/>
                <w:szCs w:val="20"/>
              </w:rPr>
              <w:t>The Ministry of the Interior of the Republic of Lithuania;</w:t>
            </w:r>
          </w:p>
          <w:p w:rsidR="00A37E99" w:rsidRDefault="00E74D2D">
            <w:pPr>
              <w:spacing w:before="240" w:after="240"/>
              <w:rPr>
                <w:color w:val="000000"/>
              </w:rPr>
            </w:pPr>
            <w:r>
              <w:rPr>
                <w:rFonts w:ascii="Times New Roman" w:eastAsia="Times New Roman" w:hAnsi="Times New Roman" w:cs="Times New Roman"/>
                <w:color w:val="000000"/>
                <w:szCs w:val="20"/>
              </w:rPr>
              <w:t>The National Courts Ad</w:t>
            </w:r>
            <w:r>
              <w:rPr>
                <w:rFonts w:ascii="Times New Roman" w:eastAsia="Times New Roman" w:hAnsi="Times New Roman" w:cs="Times New Roman"/>
                <w:color w:val="000000"/>
                <w:szCs w:val="20"/>
              </w:rPr>
              <w:t>ministration of Lithuania;</w:t>
            </w:r>
          </w:p>
          <w:p w:rsidR="00A37E99" w:rsidRDefault="00E74D2D">
            <w:pPr>
              <w:spacing w:before="240" w:after="240"/>
              <w:rPr>
                <w:color w:val="000000"/>
              </w:rPr>
            </w:pPr>
            <w:r>
              <w:rPr>
                <w:rFonts w:ascii="Times New Roman" w:eastAsia="Times New Roman" w:hAnsi="Times New Roman" w:cs="Times New Roman"/>
                <w:color w:val="000000"/>
                <w:szCs w:val="20"/>
              </w:rPr>
              <w:t>The Prosecutor’s General Office of the Republic of Lithuania;</w:t>
            </w:r>
          </w:p>
          <w:p w:rsidR="00A37E99" w:rsidRDefault="00E74D2D">
            <w:pPr>
              <w:spacing w:before="240"/>
              <w:rPr>
                <w:color w:val="000000"/>
              </w:rPr>
            </w:pPr>
            <w:r>
              <w:rPr>
                <w:rFonts w:ascii="Times New Roman" w:eastAsia="Times New Roman" w:hAnsi="Times New Roman" w:cs="Times New Roman"/>
                <w:color w:val="000000"/>
                <w:szCs w:val="20"/>
              </w:rPr>
              <w:t>The Council of Europe (CoE).</w:t>
            </w:r>
          </w:p>
        </w:tc>
      </w:tr>
      <w:tr w:rsidR="00A37E99">
        <w:trPr>
          <w:trHeight w:val="24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Total: EUR 34,376,000</w:t>
            </w:r>
          </w:p>
          <w:p w:rsidR="00A37E99" w:rsidRDefault="00E74D2D">
            <w:pPr>
              <w:spacing w:before="240" w:after="240"/>
              <w:rPr>
                <w:color w:val="000000"/>
              </w:rPr>
            </w:pPr>
            <w:r>
              <w:rPr>
                <w:rFonts w:ascii="Times New Roman" w:eastAsia="Times New Roman" w:hAnsi="Times New Roman" w:cs="Times New Roman"/>
                <w:color w:val="000000"/>
                <w:szCs w:val="20"/>
              </w:rPr>
              <w:t>EEA Grants: EUR 8,000,000</w:t>
            </w:r>
          </w:p>
          <w:p w:rsidR="00A37E99" w:rsidRDefault="00E74D2D">
            <w:pPr>
              <w:spacing w:before="240"/>
              <w:rPr>
                <w:color w:val="000000"/>
              </w:rPr>
            </w:pPr>
            <w:r>
              <w:rPr>
                <w:rFonts w:ascii="Times New Roman" w:eastAsia="Times New Roman" w:hAnsi="Times New Roman" w:cs="Times New Roman"/>
                <w:color w:val="000000"/>
                <w:szCs w:val="20"/>
              </w:rPr>
              <w:t>Norway Grants: EUR 26,376,000</w:t>
            </w:r>
          </w:p>
        </w:tc>
      </w:tr>
      <w:tr w:rsidR="00A37E99">
        <w:trPr>
          <w:trHeight w:val="240"/>
          <w:tblCellSpacing w:w="15" w:type="dxa"/>
        </w:trPr>
        <w:tc>
          <w:tcPr>
            <w:tcW w:w="984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STATUS OF THE PROGRAMME:</w:t>
            </w:r>
          </w:p>
        </w:tc>
      </w:tr>
      <w:tr w:rsidR="00A37E99">
        <w:trPr>
          <w:trHeight w:val="51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Overall </w:t>
            </w:r>
            <w:r>
              <w:rPr>
                <w:rFonts w:ascii="Times New Roman" w:eastAsia="Times New Roman" w:hAnsi="Times New Roman" w:cs="Times New Roman"/>
                <w:b/>
                <w:bCs/>
                <w:color w:val="000000"/>
                <w:szCs w:val="20"/>
              </w:rPr>
              <w:t>progress – Programme development and implementation</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Signature of the programme agreement: </w:t>
            </w:r>
            <w:r>
              <w:rPr>
                <w:rFonts w:ascii="Times New Roman" w:eastAsia="Times New Roman" w:hAnsi="Times New Roman" w:cs="Times New Roman"/>
                <w:color w:val="000000"/>
                <w:szCs w:val="20"/>
              </w:rPr>
              <w:t>11 February 2020</w:t>
            </w:r>
          </w:p>
          <w:p w:rsidR="00A37E99" w:rsidRDefault="00E74D2D">
            <w:pPr>
              <w:spacing w:before="240"/>
              <w:rPr>
                <w:color w:val="000000"/>
              </w:rPr>
            </w:pPr>
            <w:r>
              <w:rPr>
                <w:rFonts w:ascii="Times New Roman" w:eastAsia="Times New Roman" w:hAnsi="Times New Roman" w:cs="Times New Roman"/>
                <w:b/>
                <w:bCs/>
                <w:color w:val="000000"/>
                <w:szCs w:val="20"/>
              </w:rPr>
              <w:t>PDP contracts</w:t>
            </w:r>
            <w:r>
              <w:rPr>
                <w:rFonts w:ascii="Times New Roman" w:eastAsia="Times New Roman" w:hAnsi="Times New Roman" w:cs="Times New Roman"/>
                <w:color w:val="000000"/>
                <w:szCs w:val="20"/>
              </w:rPr>
              <w:t>: all signed by September 2020</w:t>
            </w:r>
          </w:p>
        </w:tc>
      </w:tr>
      <w:tr w:rsidR="00A37E99">
        <w:trPr>
          <w:trHeight w:val="51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How specific concerns in the MoU have been addressed:</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1. Use of alternative sanctions to imprisonment</w:t>
            </w:r>
          </w:p>
          <w:p w:rsidR="00A37E99" w:rsidRDefault="00E74D2D">
            <w:pPr>
              <w:numPr>
                <w:ilvl w:val="0"/>
                <w:numId w:val="1"/>
              </w:numPr>
              <w:spacing w:before="240"/>
              <w:ind w:hanging="210"/>
              <w:jc w:val="both"/>
              <w:rPr>
                <w:color w:val="000000"/>
              </w:rPr>
            </w:pPr>
            <w:r>
              <w:rPr>
                <w:rFonts w:ascii="Times New Roman" w:eastAsia="Times New Roman" w:hAnsi="Times New Roman" w:cs="Times New Roman"/>
                <w:color w:val="000000"/>
                <w:szCs w:val="20"/>
              </w:rPr>
              <w:t xml:space="preserve">A </w:t>
            </w:r>
            <w:r>
              <w:rPr>
                <w:rFonts w:ascii="Times New Roman" w:eastAsia="Times New Roman" w:hAnsi="Times New Roman" w:cs="Times New Roman"/>
                <w:color w:val="000000"/>
                <w:szCs w:val="20"/>
              </w:rPr>
              <w:t>model of an inmate’s release from a correctional institution, half-way house or probation together with the NGOs is created. The competitive calls for project funding for NGOs‘ activities has been implemented and five NGOs have started  their work from 202</w:t>
            </w:r>
            <w:r>
              <w:rPr>
                <w:rFonts w:ascii="Times New Roman" w:eastAsia="Times New Roman" w:hAnsi="Times New Roman" w:cs="Times New Roman"/>
                <w:color w:val="000000"/>
                <w:szCs w:val="20"/>
              </w:rPr>
              <w:t>3.</w:t>
            </w:r>
          </w:p>
          <w:p w:rsidR="00A37E99" w:rsidRDefault="00E74D2D">
            <w:pPr>
              <w:numPr>
                <w:ilvl w:val="0"/>
                <w:numId w:val="1"/>
              </w:numPr>
              <w:ind w:hanging="210"/>
              <w:jc w:val="both"/>
              <w:rPr>
                <w:color w:val="000000"/>
              </w:rPr>
            </w:pPr>
            <w:r>
              <w:rPr>
                <w:rFonts w:ascii="Times New Roman" w:eastAsia="Times New Roman" w:hAnsi="Times New Roman" w:cs="Times New Roman"/>
                <w:color w:val="000000"/>
                <w:szCs w:val="20"/>
              </w:rPr>
              <w:t xml:space="preserve">Seminars, workshops, best practice meetings, exchange visits in Norway and Lithuania on dynamic security, development of training programmes and trainings for prison staff are being organized. </w:t>
            </w:r>
          </w:p>
          <w:p w:rsidR="00A37E99" w:rsidRDefault="00E74D2D">
            <w:pPr>
              <w:numPr>
                <w:ilvl w:val="0"/>
                <w:numId w:val="1"/>
              </w:numPr>
              <w:spacing w:after="240"/>
              <w:ind w:hanging="210"/>
              <w:jc w:val="both"/>
              <w:rPr>
                <w:color w:val="000000"/>
              </w:rPr>
            </w:pPr>
            <w:r>
              <w:rPr>
                <w:rFonts w:ascii="Times New Roman" w:eastAsia="Times New Roman" w:hAnsi="Times New Roman" w:cs="Times New Roman"/>
                <w:color w:val="000000"/>
                <w:szCs w:val="20"/>
              </w:rPr>
              <w:t xml:space="preserve">The Strategy for Usage of Electronic Monitoring Devices was prepared by </w:t>
            </w:r>
            <w:r>
              <w:rPr>
                <w:rFonts w:ascii="Times New Roman" w:eastAsia="Times New Roman" w:hAnsi="Times New Roman" w:cs="Times New Roman"/>
                <w:color w:val="000000"/>
                <w:szCs w:val="20"/>
              </w:rPr>
              <w:lastRenderedPageBreak/>
              <w:t xml:space="preserve">the Lithuanian probation staff together with Oslo Probation Office. </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2. Synergies between the programme areas</w:t>
            </w:r>
          </w:p>
          <w:p w:rsidR="00A37E99" w:rsidRDefault="00E74D2D">
            <w:pPr>
              <w:numPr>
                <w:ilvl w:val="0"/>
                <w:numId w:val="2"/>
              </w:numPr>
              <w:spacing w:before="240"/>
              <w:ind w:hanging="210"/>
              <w:jc w:val="both"/>
              <w:rPr>
                <w:color w:val="000000"/>
              </w:rPr>
            </w:pPr>
            <w:r>
              <w:rPr>
                <w:rFonts w:ascii="Times New Roman" w:eastAsia="Times New Roman" w:hAnsi="Times New Roman" w:cs="Times New Roman"/>
                <w:color w:val="000000"/>
                <w:szCs w:val="20"/>
              </w:rPr>
              <w:t>This is a horizontal principle that cuts through all the PDPs. As a genera</w:t>
            </w:r>
            <w:r>
              <w:rPr>
                <w:rFonts w:ascii="Times New Roman" w:eastAsia="Times New Roman" w:hAnsi="Times New Roman" w:cs="Times New Roman"/>
                <w:color w:val="000000"/>
                <w:szCs w:val="20"/>
              </w:rPr>
              <w:t>l principle, all training is not limited to a segment of a justice chain represented by the project promoter, but uses the holistic approach. This is especially true in case of PDP 4 “Improving Work Quality and Enhancing Competences of the Justice Chain to</w:t>
            </w:r>
            <w:r>
              <w:rPr>
                <w:rFonts w:ascii="Times New Roman" w:eastAsia="Times New Roman" w:hAnsi="Times New Roman" w:cs="Times New Roman"/>
                <w:color w:val="000000"/>
                <w:szCs w:val="20"/>
              </w:rPr>
              <w:t xml:space="preserve"> Protect Victims of Domestic and Gender-Based Violence”: Two round table discussions among justice chain authorities and 40 meetings in local municipalities were organized. </w:t>
            </w:r>
          </w:p>
          <w:p w:rsidR="00A37E99" w:rsidRDefault="00E74D2D">
            <w:pPr>
              <w:numPr>
                <w:ilvl w:val="0"/>
                <w:numId w:val="2"/>
              </w:numPr>
              <w:spacing w:after="240"/>
              <w:ind w:hanging="210"/>
              <w:jc w:val="both"/>
              <w:rPr>
                <w:color w:val="000000"/>
              </w:rPr>
            </w:pPr>
            <w:r>
              <w:rPr>
                <w:rFonts w:ascii="Times New Roman" w:eastAsia="Times New Roman" w:hAnsi="Times New Roman" w:cs="Times New Roman"/>
                <w:color w:val="000000"/>
                <w:szCs w:val="20"/>
              </w:rPr>
              <w:t>Round table discussions with justice chain as well as online training were organiz</w:t>
            </w:r>
            <w:r>
              <w:rPr>
                <w:rFonts w:ascii="Times New Roman" w:eastAsia="Times New Roman" w:hAnsi="Times New Roman" w:cs="Times New Roman"/>
                <w:color w:val="000000"/>
                <w:szCs w:val="20"/>
              </w:rPr>
              <w:t xml:space="preserve">ed by the Prosecutor General's Office of the Republic of Lithuania involving representatives of NGOs. </w:t>
            </w:r>
          </w:p>
          <w:p w:rsidR="00A37E99" w:rsidRDefault="00E74D2D">
            <w:pPr>
              <w:spacing w:before="240" w:after="240"/>
              <w:jc w:val="both"/>
              <w:rPr>
                <w:color w:val="000000"/>
              </w:rPr>
            </w:pPr>
            <w:r>
              <w:rPr>
                <w:rFonts w:ascii="Times New Roman" w:eastAsia="Times New Roman" w:hAnsi="Times New Roman" w:cs="Times New Roman"/>
                <w:color w:val="000000"/>
                <w:szCs w:val="20"/>
              </w:rPr>
              <w:t> </w:t>
            </w:r>
            <w:r>
              <w:rPr>
                <w:rFonts w:ascii="Times New Roman" w:eastAsia="Times New Roman" w:hAnsi="Times New Roman" w:cs="Times New Roman"/>
                <w:b/>
                <w:bCs/>
                <w:color w:val="000000"/>
                <w:szCs w:val="20"/>
              </w:rPr>
              <w:t xml:space="preserve">3. Establishment of a training centre and renovation of up to two pilot correctional centres </w:t>
            </w:r>
          </w:p>
          <w:p w:rsidR="00A37E99" w:rsidRDefault="00E74D2D">
            <w:pPr>
              <w:numPr>
                <w:ilvl w:val="0"/>
                <w:numId w:val="3"/>
              </w:numPr>
              <w:spacing w:before="240" w:after="240"/>
              <w:ind w:hanging="210"/>
              <w:jc w:val="both"/>
              <w:rPr>
                <w:color w:val="000000"/>
              </w:rPr>
            </w:pPr>
            <w:r>
              <w:rPr>
                <w:rFonts w:ascii="Times New Roman" w:eastAsia="Times New Roman" w:hAnsi="Times New Roman" w:cs="Times New Roman"/>
                <w:color w:val="000000"/>
                <w:szCs w:val="20"/>
              </w:rPr>
              <w:t xml:space="preserve">A modification of the Programme Agreement was approved by </w:t>
            </w:r>
            <w:r>
              <w:rPr>
                <w:rFonts w:ascii="Times New Roman" w:eastAsia="Times New Roman" w:hAnsi="Times New Roman" w:cs="Times New Roman"/>
                <w:color w:val="000000"/>
                <w:szCs w:val="20"/>
              </w:rPr>
              <w:t>the donors in September 2022, which included allocation of the reserve to the Programme and changes in the pre-defined project „Development of Quality Based Lithuanian Correctional Service System“.</w:t>
            </w:r>
          </w:p>
          <w:p w:rsidR="00A37E99" w:rsidRDefault="00E74D2D">
            <w:pPr>
              <w:spacing w:before="240" w:after="240"/>
              <w:jc w:val="both"/>
              <w:rPr>
                <w:color w:val="000000"/>
              </w:rPr>
            </w:pPr>
            <w:r>
              <w:rPr>
                <w:rFonts w:ascii="Times New Roman" w:eastAsia="Times New Roman" w:hAnsi="Times New Roman" w:cs="Times New Roman"/>
                <w:color w:val="000000"/>
                <w:szCs w:val="20"/>
              </w:rPr>
              <w:t>The modification was related with:</w:t>
            </w:r>
          </w:p>
          <w:p w:rsidR="00A37E99" w:rsidRDefault="00E74D2D">
            <w:pPr>
              <w:numPr>
                <w:ilvl w:val="0"/>
                <w:numId w:val="4"/>
              </w:numPr>
              <w:spacing w:before="240"/>
              <w:ind w:hanging="210"/>
              <w:jc w:val="both"/>
              <w:rPr>
                <w:color w:val="000000"/>
              </w:rPr>
            </w:pPr>
            <w:r>
              <w:rPr>
                <w:rFonts w:ascii="Times New Roman" w:eastAsia="Times New Roman" w:hAnsi="Times New Roman" w:cs="Times New Roman"/>
                <w:color w:val="000000"/>
                <w:szCs w:val="20"/>
              </w:rPr>
              <w:t>Stopping the plan to bu</w:t>
            </w:r>
            <w:r>
              <w:rPr>
                <w:rFonts w:ascii="Times New Roman" w:eastAsia="Times New Roman" w:hAnsi="Times New Roman" w:cs="Times New Roman"/>
                <w:color w:val="000000"/>
                <w:szCs w:val="20"/>
              </w:rPr>
              <w:t>ild a new Training Centre Upgrading and rebuilding of an existing building to become the New Training Centre in Antavilai instead of construction of a new building. Procurement procedures for repair works, furniture and equipment for Training centre are un</w:t>
            </w:r>
            <w:r>
              <w:rPr>
                <w:rFonts w:ascii="Times New Roman" w:eastAsia="Times New Roman" w:hAnsi="Times New Roman" w:cs="Times New Roman"/>
                <w:color w:val="000000"/>
                <w:szCs w:val="20"/>
              </w:rPr>
              <w:t xml:space="preserve">der implementation. </w:t>
            </w:r>
          </w:p>
          <w:p w:rsidR="00A37E99" w:rsidRDefault="00E74D2D">
            <w:pPr>
              <w:numPr>
                <w:ilvl w:val="0"/>
                <w:numId w:val="4"/>
              </w:numPr>
              <w:spacing w:after="240"/>
              <w:ind w:hanging="210"/>
              <w:jc w:val="both"/>
              <w:rPr>
                <w:color w:val="000000"/>
              </w:rPr>
            </w:pPr>
            <w:r>
              <w:rPr>
                <w:rFonts w:ascii="Times New Roman" w:eastAsia="Times New Roman" w:hAnsi="Times New Roman" w:cs="Times New Roman"/>
                <w:color w:val="000000"/>
                <w:szCs w:val="20"/>
              </w:rPr>
              <w:t>Instead of building a new 200 cell type living facility in the Vilnius Correction House there will be established an activity centre for inmates and outdoor sports  facilities as well as the Employment Centre will be established at  Pr</w:t>
            </w:r>
            <w:r>
              <w:rPr>
                <w:rFonts w:ascii="Times New Roman" w:eastAsia="Times New Roman" w:hAnsi="Times New Roman" w:cs="Times New Roman"/>
                <w:color w:val="000000"/>
                <w:szCs w:val="20"/>
              </w:rPr>
              <w:t>avieniškės 1st Prison. The  Procurement of technical design project of the Employment Centre at  Pravieniškės 1st Prison  was being prepared and the public procurement documents of Employment Centre of Vilnius Prison was being prepared in 2022.</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4. Focusing</w:t>
            </w:r>
            <w:r>
              <w:rPr>
                <w:rFonts w:ascii="Times New Roman" w:eastAsia="Times New Roman" w:hAnsi="Times New Roman" w:cs="Times New Roman"/>
                <w:b/>
                <w:bCs/>
                <w:color w:val="000000"/>
                <w:szCs w:val="20"/>
              </w:rPr>
              <w:t xml:space="preserve"> on the concept of the European judicial culture and the European Convention on Human Rights in the programme area “Effectiveness and Efficiency of the Judicial System, Strengthening the Rule of Law” </w:t>
            </w:r>
          </w:p>
          <w:p w:rsidR="00A37E99" w:rsidRDefault="00E74D2D">
            <w:pPr>
              <w:numPr>
                <w:ilvl w:val="0"/>
                <w:numId w:val="5"/>
              </w:numPr>
              <w:spacing w:before="240"/>
              <w:ind w:hanging="210"/>
              <w:jc w:val="both"/>
              <w:rPr>
                <w:color w:val="000000"/>
              </w:rPr>
            </w:pPr>
            <w:r>
              <w:rPr>
                <w:rFonts w:ascii="Times New Roman" w:eastAsia="Times New Roman" w:hAnsi="Times New Roman" w:cs="Times New Roman"/>
                <w:color w:val="000000"/>
                <w:szCs w:val="20"/>
              </w:rPr>
              <w:t>The New model for selection and evaluation of judges wa</w:t>
            </w:r>
            <w:r>
              <w:rPr>
                <w:rFonts w:ascii="Times New Roman" w:eastAsia="Times New Roman" w:hAnsi="Times New Roman" w:cs="Times New Roman"/>
                <w:color w:val="000000"/>
                <w:szCs w:val="20"/>
              </w:rPr>
              <w:t>s prepared and legal acts implementing the new model were prepared and approved.</w:t>
            </w:r>
          </w:p>
          <w:p w:rsidR="00A37E99" w:rsidRDefault="00E74D2D">
            <w:pPr>
              <w:numPr>
                <w:ilvl w:val="0"/>
                <w:numId w:val="5"/>
              </w:numPr>
              <w:ind w:hanging="210"/>
              <w:jc w:val="both"/>
              <w:rPr>
                <w:color w:val="000000"/>
              </w:rPr>
            </w:pPr>
            <w:r>
              <w:rPr>
                <w:rFonts w:ascii="Times New Roman" w:eastAsia="Times New Roman" w:hAnsi="Times New Roman" w:cs="Times New Roman"/>
                <w:color w:val="000000"/>
                <w:szCs w:val="20"/>
              </w:rPr>
              <w:t>The Study on managerial competencies for effective management of courts was prepared.</w:t>
            </w:r>
          </w:p>
          <w:p w:rsidR="00A37E99" w:rsidRDefault="00E74D2D">
            <w:pPr>
              <w:numPr>
                <w:ilvl w:val="0"/>
                <w:numId w:val="5"/>
              </w:numPr>
              <w:ind w:hanging="210"/>
              <w:jc w:val="both"/>
              <w:rPr>
                <w:color w:val="000000"/>
              </w:rPr>
            </w:pPr>
            <w:r>
              <w:rPr>
                <w:rFonts w:ascii="Times New Roman" w:eastAsia="Times New Roman" w:hAnsi="Times New Roman" w:cs="Times New Roman"/>
                <w:color w:val="000000"/>
                <w:szCs w:val="20"/>
              </w:rPr>
              <w:t>The Study on conducting of court proceedings was prepared.</w:t>
            </w:r>
          </w:p>
          <w:p w:rsidR="00A37E99" w:rsidRDefault="00E74D2D">
            <w:pPr>
              <w:numPr>
                <w:ilvl w:val="0"/>
                <w:numId w:val="5"/>
              </w:numPr>
              <w:spacing w:after="240"/>
              <w:ind w:hanging="210"/>
              <w:jc w:val="both"/>
              <w:rPr>
                <w:color w:val="000000"/>
              </w:rPr>
            </w:pPr>
            <w:r>
              <w:rPr>
                <w:rFonts w:ascii="Times New Roman" w:eastAsia="Times New Roman" w:hAnsi="Times New Roman" w:cs="Times New Roman"/>
                <w:color w:val="000000"/>
                <w:szCs w:val="20"/>
              </w:rPr>
              <w:t>In 2022, the technical specifi</w:t>
            </w:r>
            <w:r>
              <w:rPr>
                <w:rFonts w:ascii="Times New Roman" w:eastAsia="Times New Roman" w:hAnsi="Times New Roman" w:cs="Times New Roman"/>
                <w:color w:val="000000"/>
                <w:szCs w:val="20"/>
              </w:rPr>
              <w:t>cations of the repair</w:t>
            </w:r>
            <w:r>
              <w:rPr>
                <w:rFonts w:ascii="Calibri" w:eastAsia="Calibri" w:hAnsi="Calibri" w:cs="Calibri"/>
                <w:color w:val="000000"/>
                <w:sz w:val="22"/>
              </w:rPr>
              <w:t xml:space="preserve"> </w:t>
            </w:r>
            <w:r>
              <w:rPr>
                <w:rFonts w:ascii="Times New Roman" w:eastAsia="Times New Roman" w:hAnsi="Times New Roman" w:cs="Times New Roman"/>
                <w:color w:val="000000"/>
                <w:szCs w:val="20"/>
              </w:rPr>
              <w:t xml:space="preserve">works of three courts (Tauragė District Court, Panevėžys District Court, and Panevėžys Regional Court) were prepared. Construction works are expected to start </w:t>
            </w:r>
            <w:r>
              <w:rPr>
                <w:rFonts w:ascii="Times New Roman" w:eastAsia="Times New Roman" w:hAnsi="Times New Roman" w:cs="Times New Roman"/>
                <w:color w:val="000000"/>
                <w:szCs w:val="20"/>
              </w:rPr>
              <w:lastRenderedPageBreak/>
              <w:t>in the  2</w:t>
            </w:r>
            <w:r>
              <w:rPr>
                <w:rFonts w:ascii="Times New Roman" w:eastAsia="Times New Roman" w:hAnsi="Times New Roman" w:cs="Times New Roman"/>
                <w:color w:val="000000"/>
                <w:sz w:val="25"/>
                <w:szCs w:val="25"/>
                <w:vertAlign w:val="superscript"/>
              </w:rPr>
              <w:t>nd</w:t>
            </w:r>
            <w:r>
              <w:rPr>
                <w:rFonts w:ascii="Times New Roman" w:eastAsia="Times New Roman" w:hAnsi="Times New Roman" w:cs="Times New Roman"/>
                <w:color w:val="000000"/>
                <w:szCs w:val="20"/>
              </w:rPr>
              <w:t xml:space="preserve"> quarter of 2023.</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 xml:space="preserve">5. Focusing on bilateral cooperation with the </w:t>
            </w:r>
            <w:r>
              <w:rPr>
                <w:rFonts w:ascii="Times New Roman" w:eastAsia="Times New Roman" w:hAnsi="Times New Roman" w:cs="Times New Roman"/>
                <w:b/>
                <w:bCs/>
                <w:color w:val="000000"/>
                <w:szCs w:val="20"/>
              </w:rPr>
              <w:t>Norwegian Police Service to combat cross-border and organised crime</w:t>
            </w:r>
          </w:p>
          <w:p w:rsidR="00A37E99" w:rsidRDefault="00E74D2D">
            <w:pPr>
              <w:numPr>
                <w:ilvl w:val="0"/>
                <w:numId w:val="6"/>
              </w:numPr>
              <w:spacing w:before="240"/>
              <w:ind w:hanging="210"/>
              <w:jc w:val="both"/>
              <w:rPr>
                <w:color w:val="000000"/>
              </w:rPr>
            </w:pPr>
            <w:r>
              <w:rPr>
                <w:rFonts w:ascii="Times New Roman" w:eastAsia="Times New Roman" w:hAnsi="Times New Roman" w:cs="Times New Roman"/>
                <w:color w:val="000000"/>
                <w:szCs w:val="20"/>
              </w:rPr>
              <w:t xml:space="preserve">The training courses (workshop on fingerprints and probabilities organized by University of Lausanne) was attended by representatives of the Lithuanian Police Forensic Science Centre </w:t>
            </w:r>
            <w:r>
              <w:rPr>
                <w:rFonts w:ascii="Times New Roman" w:eastAsia="Times New Roman" w:hAnsi="Times New Roman" w:cs="Times New Roman"/>
                <w:color w:val="000000"/>
                <w:szCs w:val="20"/>
              </w:rPr>
              <w:t>together with colleagues from the Norvegian National Criminal Investigation Service (KRIPOS).</w:t>
            </w:r>
          </w:p>
          <w:p w:rsidR="00A37E99" w:rsidRDefault="00E74D2D">
            <w:pPr>
              <w:numPr>
                <w:ilvl w:val="0"/>
                <w:numId w:val="6"/>
              </w:numPr>
              <w:spacing w:after="240"/>
              <w:ind w:hanging="210"/>
              <w:jc w:val="both"/>
              <w:rPr>
                <w:color w:val="000000"/>
              </w:rPr>
            </w:pPr>
            <w:r>
              <w:rPr>
                <w:rFonts w:ascii="Times New Roman" w:eastAsia="Times New Roman" w:hAnsi="Times New Roman" w:cs="Times New Roman"/>
                <w:color w:val="000000"/>
                <w:szCs w:val="20"/>
              </w:rPr>
              <w:t>Six operational meetings in Lithuania, Norway, Poland, Netherlands were carried out in co-operation with KRIPOS or other European law enforcement agencies.</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6. Foc</w:t>
            </w:r>
            <w:r>
              <w:rPr>
                <w:rFonts w:ascii="Times New Roman" w:eastAsia="Times New Roman" w:hAnsi="Times New Roman" w:cs="Times New Roman"/>
                <w:b/>
                <w:bCs/>
                <w:color w:val="000000"/>
                <w:szCs w:val="20"/>
              </w:rPr>
              <w:t>using on the objectives and values behind the Istanbul Convention, policy improvements, police investigations, court proceedings and best practice developments.</w:t>
            </w:r>
          </w:p>
          <w:p w:rsidR="00A37E99" w:rsidRDefault="00E74D2D">
            <w:pPr>
              <w:numPr>
                <w:ilvl w:val="0"/>
                <w:numId w:val="7"/>
              </w:numPr>
              <w:spacing w:before="240"/>
              <w:ind w:hanging="210"/>
              <w:jc w:val="both"/>
              <w:rPr>
                <w:color w:val="000000"/>
              </w:rPr>
            </w:pPr>
            <w:r>
              <w:rPr>
                <w:rFonts w:ascii="Times New Roman" w:eastAsia="Times New Roman" w:hAnsi="Times New Roman" w:cs="Times New Roman"/>
                <w:color w:val="000000"/>
                <w:szCs w:val="20"/>
              </w:rPr>
              <w:t>Study on the implementation of legal regulations with recommendations for improvements in the a</w:t>
            </w:r>
            <w:r>
              <w:rPr>
                <w:rFonts w:ascii="Times New Roman" w:eastAsia="Times New Roman" w:hAnsi="Times New Roman" w:cs="Times New Roman"/>
                <w:color w:val="000000"/>
                <w:szCs w:val="20"/>
              </w:rPr>
              <w:t xml:space="preserve">rea of domestic violence was being developed. </w:t>
            </w:r>
          </w:p>
          <w:p w:rsidR="00A37E99" w:rsidRDefault="00E74D2D">
            <w:pPr>
              <w:numPr>
                <w:ilvl w:val="0"/>
                <w:numId w:val="7"/>
              </w:numPr>
              <w:ind w:hanging="210"/>
              <w:jc w:val="both"/>
              <w:rPr>
                <w:color w:val="000000"/>
              </w:rPr>
            </w:pPr>
            <w:r>
              <w:rPr>
                <w:rFonts w:ascii="Times New Roman" w:eastAsia="Times New Roman" w:hAnsi="Times New Roman" w:cs="Times New Roman"/>
                <w:color w:val="000000"/>
                <w:szCs w:val="20"/>
              </w:rPr>
              <w:t xml:space="preserve">Workshops with Oslo Police District on the topic of domestic violence took place in Lithuania and in Norway. </w:t>
            </w:r>
          </w:p>
          <w:p w:rsidR="00A37E99" w:rsidRDefault="00E74D2D">
            <w:pPr>
              <w:numPr>
                <w:ilvl w:val="0"/>
                <w:numId w:val="7"/>
              </w:numPr>
              <w:ind w:hanging="210"/>
              <w:jc w:val="both"/>
              <w:rPr>
                <w:color w:val="000000"/>
              </w:rPr>
            </w:pPr>
            <w:r>
              <w:rPr>
                <w:rFonts w:ascii="Times New Roman" w:eastAsia="Times New Roman" w:hAnsi="Times New Roman" w:cs="Times New Roman"/>
                <w:color w:val="000000"/>
                <w:szCs w:val="20"/>
              </w:rPr>
              <w:t>Awareness raising meetings for the public to promote a zero-tolerance approach to domestic violence</w:t>
            </w:r>
            <w:r>
              <w:rPr>
                <w:rFonts w:ascii="Times New Roman" w:eastAsia="Times New Roman" w:hAnsi="Times New Roman" w:cs="Times New Roman"/>
                <w:color w:val="000000"/>
                <w:szCs w:val="20"/>
              </w:rPr>
              <w:t xml:space="preserve"> were arranged.</w:t>
            </w:r>
          </w:p>
          <w:p w:rsidR="00A37E99" w:rsidRDefault="00E74D2D">
            <w:pPr>
              <w:numPr>
                <w:ilvl w:val="0"/>
                <w:numId w:val="7"/>
              </w:numPr>
              <w:ind w:hanging="210"/>
              <w:jc w:val="both"/>
              <w:rPr>
                <w:color w:val="000000"/>
              </w:rPr>
            </w:pPr>
            <w:r>
              <w:rPr>
                <w:rFonts w:ascii="Times New Roman" w:eastAsia="Times New Roman" w:hAnsi="Times New Roman" w:cs="Times New Roman"/>
                <w:color w:val="000000"/>
                <w:szCs w:val="20"/>
              </w:rPr>
              <w:t xml:space="preserve">Two round table discussions among justice chain authorities and 40 meetings in local municipalities were organized. </w:t>
            </w:r>
          </w:p>
          <w:p w:rsidR="00A37E99" w:rsidRDefault="00E74D2D">
            <w:pPr>
              <w:numPr>
                <w:ilvl w:val="0"/>
                <w:numId w:val="7"/>
              </w:numPr>
              <w:spacing w:after="240"/>
              <w:ind w:hanging="210"/>
              <w:jc w:val="both"/>
              <w:rPr>
                <w:color w:val="000000"/>
              </w:rPr>
            </w:pPr>
            <w:r>
              <w:rPr>
                <w:rFonts w:ascii="Times New Roman" w:eastAsia="Times New Roman" w:hAnsi="Times New Roman" w:cs="Times New Roman"/>
                <w:color w:val="000000"/>
                <w:szCs w:val="20"/>
              </w:rPr>
              <w:t xml:space="preserve">Project representatives participated in the digital events of the SYNERGY Network against gender-based and domestic </w:t>
            </w:r>
            <w:r>
              <w:rPr>
                <w:rFonts w:ascii="Times New Roman" w:eastAsia="Times New Roman" w:hAnsi="Times New Roman" w:cs="Times New Roman"/>
                <w:color w:val="000000"/>
                <w:szCs w:val="20"/>
              </w:rPr>
              <w:t>violence.</w:t>
            </w:r>
          </w:p>
          <w:p w:rsidR="00A37E99" w:rsidRDefault="00E74D2D">
            <w:pPr>
              <w:spacing w:before="240"/>
              <w:jc w:val="both"/>
              <w:rPr>
                <w:color w:val="000000"/>
              </w:rPr>
            </w:pPr>
            <w:r>
              <w:rPr>
                <w:rFonts w:ascii="Times New Roman" w:eastAsia="Times New Roman" w:hAnsi="Times New Roman" w:cs="Times New Roman"/>
                <w:color w:val="000000"/>
                <w:szCs w:val="20"/>
              </w:rPr>
              <w:t xml:space="preserve">Servers and body-worn cameras were purchased and delivered. </w:t>
            </w:r>
          </w:p>
        </w:tc>
      </w:tr>
      <w:tr w:rsidR="00A37E99">
        <w:trPr>
          <w:trHeight w:val="36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lastRenderedPageBreak/>
              <w:t xml:space="preserve">Problems related to programme development and implementation, with suggested solutions </w:t>
            </w:r>
          </w:p>
          <w:p w:rsidR="00A37E99" w:rsidRDefault="00E74D2D">
            <w:pPr>
              <w:spacing w:before="240"/>
              <w:rPr>
                <w:color w:val="000000"/>
              </w:rPr>
            </w:pPr>
            <w:r>
              <w:rPr>
                <w:rFonts w:ascii="Calibri" w:eastAsia="Calibri" w:hAnsi="Calibri" w:cs="Calibri"/>
                <w:b/>
                <w:bCs/>
                <w:color w:val="000000"/>
                <w:sz w:val="22"/>
              </w:rPr>
              <w:t> </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Overall risk of not absorbing of all funds and not achieving some targets is medium.</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In 2022, the risk that the pre-defined project </w:t>
            </w:r>
            <w:r>
              <w:rPr>
                <w:rFonts w:ascii="Times New Roman" w:eastAsia="Times New Roman" w:hAnsi="Times New Roman" w:cs="Times New Roman"/>
                <w:b/>
                <w:bCs/>
                <w:color w:val="000000"/>
                <w:szCs w:val="20"/>
              </w:rPr>
              <w:t>LT-JUSTICE-0003</w:t>
            </w:r>
            <w:r>
              <w:rPr>
                <w:rFonts w:ascii="Times New Roman" w:eastAsia="Times New Roman" w:hAnsi="Times New Roman" w:cs="Times New Roman"/>
                <w:color w:val="000000"/>
                <w:szCs w:val="20"/>
              </w:rPr>
              <w:t xml:space="preserve">  would not achieve some indicators within the eligibility period of the project has been reduced. A modification of the Programme Agreement was approved in September 2022, the project steering </w:t>
            </w:r>
            <w:r>
              <w:rPr>
                <w:rFonts w:ascii="Times New Roman" w:eastAsia="Times New Roman" w:hAnsi="Times New Roman" w:cs="Times New Roman"/>
                <w:color w:val="000000"/>
                <w:szCs w:val="20"/>
              </w:rPr>
              <w:t>group was established, weekly meetings of the project promotor and the Ministry of Justice have been organized to discuss and speed up activities.</w:t>
            </w:r>
          </w:p>
          <w:p w:rsidR="00A37E99" w:rsidRDefault="00E74D2D">
            <w:pPr>
              <w:spacing w:before="240" w:after="240"/>
              <w:jc w:val="both"/>
              <w:rPr>
                <w:color w:val="000000"/>
              </w:rPr>
            </w:pPr>
            <w:r>
              <w:rPr>
                <w:rFonts w:ascii="Times New Roman" w:eastAsia="Times New Roman" w:hAnsi="Times New Roman" w:cs="Times New Roman"/>
                <w:color w:val="000000"/>
                <w:szCs w:val="20"/>
              </w:rPr>
              <w:t>Risk of price increase for construction materials is mitigated by constantly conducting market research relat</w:t>
            </w:r>
            <w:r>
              <w:rPr>
                <w:rFonts w:ascii="Times New Roman" w:eastAsia="Times New Roman" w:hAnsi="Times New Roman" w:cs="Times New Roman"/>
                <w:color w:val="000000"/>
                <w:szCs w:val="20"/>
              </w:rPr>
              <w:t>ed to the price assessment of construction materials. Expenditure categories of projects are/will be reviewed and, if necessary, savings are/will be transferred to cover the increased prices.</w:t>
            </w:r>
            <w:r>
              <w:rPr>
                <w:rFonts w:ascii="Calibri" w:eastAsia="Calibri" w:hAnsi="Calibri" w:cs="Calibri"/>
                <w:color w:val="000000"/>
                <w:sz w:val="22"/>
              </w:rPr>
              <w:t xml:space="preserve"> </w:t>
            </w:r>
          </w:p>
          <w:p w:rsidR="00A37E99" w:rsidRDefault="00E74D2D">
            <w:pPr>
              <w:spacing w:before="240"/>
              <w:jc w:val="both"/>
              <w:rPr>
                <w:color w:val="000000"/>
              </w:rPr>
            </w:pPr>
            <w:r>
              <w:rPr>
                <w:rFonts w:ascii="Times New Roman" w:eastAsia="Times New Roman" w:hAnsi="Times New Roman" w:cs="Times New Roman"/>
                <w:color w:val="000000"/>
                <w:szCs w:val="20"/>
              </w:rPr>
              <w:t>Risk of delay in public procurement is mitigated by keeping imp</w:t>
            </w:r>
            <w:r>
              <w:rPr>
                <w:rFonts w:ascii="Times New Roman" w:eastAsia="Times New Roman" w:hAnsi="Times New Roman" w:cs="Times New Roman"/>
                <w:color w:val="000000"/>
                <w:szCs w:val="20"/>
              </w:rPr>
              <w:t>lementing ex-ante assessment of procurement documents, providing consultations and advice to the project promoter.</w:t>
            </w:r>
          </w:p>
        </w:tc>
      </w:tr>
      <w:tr w:rsidR="00A37E99">
        <w:trPr>
          <w:trHeight w:val="360"/>
          <w:tblCellSpacing w:w="15" w:type="dxa"/>
        </w:trPr>
        <w:tc>
          <w:tcPr>
            <w:tcW w:w="29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Progress in strengthening BR with </w:t>
            </w:r>
            <w:r>
              <w:rPr>
                <w:rFonts w:ascii="Times New Roman" w:eastAsia="Times New Roman" w:hAnsi="Times New Roman" w:cs="Times New Roman"/>
                <w:b/>
                <w:bCs/>
                <w:color w:val="000000"/>
                <w:szCs w:val="20"/>
              </w:rPr>
              <w:lastRenderedPageBreak/>
              <w:t xml:space="preserve">Donor State entities, including the use of bilateral funds allocated to the programme </w:t>
            </w:r>
          </w:p>
          <w:p w:rsidR="00A37E99" w:rsidRDefault="00E74D2D">
            <w:pPr>
              <w:spacing w:before="240"/>
              <w:rPr>
                <w:color w:val="000000"/>
              </w:rPr>
            </w:pPr>
            <w:r>
              <w:rPr>
                <w:rFonts w:ascii="Calibri" w:eastAsia="Calibri" w:hAnsi="Calibri" w:cs="Calibri"/>
                <w:b/>
                <w:bCs/>
                <w:color w:val="000000"/>
                <w:sz w:val="22"/>
              </w:rPr>
              <w:t> </w:t>
            </w:r>
          </w:p>
        </w:tc>
        <w:tc>
          <w:tcPr>
            <w:tcW w:w="69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lastRenderedPageBreak/>
              <w:t xml:space="preserve">A number of </w:t>
            </w:r>
            <w:r>
              <w:rPr>
                <w:rFonts w:ascii="Times New Roman" w:eastAsia="Times New Roman" w:hAnsi="Times New Roman" w:cs="Times New Roman"/>
                <w:color w:val="000000"/>
                <w:szCs w:val="20"/>
              </w:rPr>
              <w:t xml:space="preserve">important bilateral initiatives and meetings that strengthened </w:t>
            </w:r>
            <w:r>
              <w:rPr>
                <w:rFonts w:ascii="Times New Roman" w:eastAsia="Times New Roman" w:hAnsi="Times New Roman" w:cs="Times New Roman"/>
                <w:color w:val="000000"/>
                <w:szCs w:val="20"/>
              </w:rPr>
              <w:lastRenderedPageBreak/>
              <w:t>bilateral relations on both Programme and project levels were organized:</w:t>
            </w:r>
          </w:p>
          <w:p w:rsidR="00A37E99" w:rsidRDefault="00E74D2D">
            <w:pPr>
              <w:numPr>
                <w:ilvl w:val="0"/>
                <w:numId w:val="8"/>
              </w:numPr>
              <w:spacing w:before="240"/>
              <w:ind w:hanging="210"/>
              <w:jc w:val="both"/>
              <w:rPr>
                <w:color w:val="000000"/>
              </w:rPr>
            </w:pPr>
            <w:r>
              <w:rPr>
                <w:rFonts w:ascii="Times New Roman" w:eastAsia="Times New Roman" w:hAnsi="Times New Roman" w:cs="Times New Roman"/>
                <w:color w:val="000000"/>
                <w:szCs w:val="20"/>
              </w:rPr>
              <w:t>Lithuania’s Justice and Home Affairs Programme participation in the SYNERGY Network against gender-based and domestic vi</w:t>
            </w:r>
            <w:r>
              <w:rPr>
                <w:rFonts w:ascii="Times New Roman" w:eastAsia="Times New Roman" w:hAnsi="Times New Roman" w:cs="Times New Roman"/>
                <w:color w:val="000000"/>
                <w:szCs w:val="20"/>
              </w:rPr>
              <w:t xml:space="preserve">olence is funded by the Bilateral Fund. </w:t>
            </w:r>
          </w:p>
          <w:p w:rsidR="00A37E99" w:rsidRDefault="00E74D2D">
            <w:pPr>
              <w:numPr>
                <w:ilvl w:val="0"/>
                <w:numId w:val="8"/>
              </w:numPr>
              <w:spacing w:after="240"/>
              <w:ind w:hanging="210"/>
              <w:jc w:val="both"/>
              <w:rPr>
                <w:color w:val="000000"/>
              </w:rPr>
            </w:pPr>
            <w:r>
              <w:rPr>
                <w:rFonts w:ascii="Times New Roman" w:eastAsia="Times New Roman" w:hAnsi="Times New Roman" w:cs="Times New Roman"/>
                <w:color w:val="000000"/>
                <w:szCs w:val="20"/>
              </w:rPr>
              <w:t>Three workshops with the aim to share and exchange knowledge, challenges, and experiences in the work with cases concerning domestic violence together with Oslo Police were organized in the project LT-JUSTICE-0004.</w:t>
            </w:r>
          </w:p>
          <w:p w:rsidR="00A37E99" w:rsidRDefault="00E74D2D">
            <w:pPr>
              <w:spacing w:before="240"/>
              <w:jc w:val="both"/>
              <w:rPr>
                <w:color w:val="000000"/>
              </w:rPr>
            </w:pPr>
            <w:r>
              <w:rPr>
                <w:rFonts w:ascii="Times New Roman" w:eastAsia="Times New Roman" w:hAnsi="Times New Roman" w:cs="Times New Roman"/>
                <w:color w:val="000000"/>
                <w:szCs w:val="20"/>
              </w:rPr>
              <w:t xml:space="preserve">The meeting with representatives of KDI, Ministry of Justice of the Republic of Lithuania and FMO was organized in 2022 by PO regarding Modification of the Programme Agreement. </w:t>
            </w:r>
          </w:p>
        </w:tc>
      </w:tr>
    </w:tbl>
    <w:p w:rsidR="00A37E99" w:rsidRDefault="00E74D2D">
      <w:pPr>
        <w:pStyle w:val="Antrat2"/>
        <w:spacing w:before="299" w:after="299"/>
        <w:rPr>
          <w:rFonts w:ascii="Calibri" w:eastAsia="Calibri" w:hAnsi="Calibri" w:cs="Calibri"/>
          <w:bCs/>
          <w:color w:val="2E74B5"/>
          <w:sz w:val="36"/>
          <w:szCs w:val="36"/>
        </w:rPr>
      </w:pPr>
      <w:r>
        <w:lastRenderedPageBreak/>
        <w:t> </w:t>
      </w:r>
    </w:p>
    <w:p w:rsidR="00A37E99" w:rsidRDefault="00E74D2D">
      <w:pPr>
        <w:spacing w:before="240" w:after="240"/>
      </w:pPr>
      <w:r>
        <w:t> </w:t>
      </w:r>
    </w:p>
    <w:p w:rsidR="00A37E99" w:rsidRDefault="00E74D2D">
      <w:pPr>
        <w:pStyle w:val="Antrat2"/>
        <w:spacing w:before="299" w:after="299"/>
        <w:rPr>
          <w:rFonts w:ascii="Calibri" w:eastAsia="Calibri" w:hAnsi="Calibri" w:cs="Calibri"/>
          <w:bCs/>
          <w:color w:val="2E74B5"/>
          <w:sz w:val="36"/>
          <w:szCs w:val="36"/>
        </w:rPr>
      </w:pPr>
      <w:bookmarkStart w:id="8" w:name="_Toc256000006"/>
      <w:r>
        <w:t>LT-INNOVATION Business Development, Innovation and SMEs</w:t>
      </w:r>
      <w:bookmarkEnd w:id="8"/>
    </w:p>
    <w:p w:rsidR="00A37E99" w:rsidRDefault="00E74D2D">
      <w:pPr>
        <w:spacing w:before="240" w:after="240"/>
      </w:pPr>
      <w:r>
        <w:t> </w:t>
      </w:r>
    </w:p>
    <w:tbl>
      <w:tblPr>
        <w:tblW w:w="9915"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884"/>
        <w:gridCol w:w="7031"/>
      </w:tblGrid>
      <w:tr w:rsidR="00A37E99">
        <w:trPr>
          <w:trHeight w:val="270"/>
          <w:tblCellSpacing w:w="15" w:type="dxa"/>
        </w:trPr>
        <w:tc>
          <w:tcPr>
            <w:tcW w:w="997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COMMON </w:t>
            </w:r>
            <w:r>
              <w:rPr>
                <w:rFonts w:ascii="Times New Roman" w:eastAsia="Times New Roman" w:hAnsi="Times New Roman" w:cs="Times New Roman"/>
                <w:b/>
                <w:bCs/>
                <w:color w:val="000000"/>
                <w:szCs w:val="20"/>
              </w:rPr>
              <w:t>INFORMATION:</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PO:</w:t>
            </w:r>
            <w:r>
              <w:rPr>
                <w:rFonts w:ascii="Times New Roman" w:eastAsia="Times New Roman" w:hAnsi="Times New Roman" w:cs="Times New Roman"/>
                <w:color w:val="000000"/>
                <w:szCs w:val="20"/>
              </w:rPr>
              <w:t>  Innovation Agency (Programme Agreement amendment – transfer of PO functions from Agency for Science, Innovation and Technology to the Innovation Agency – entered into force from 4 July 2022)</w:t>
            </w:r>
          </w:p>
          <w:p w:rsidR="00A37E99" w:rsidRDefault="00E74D2D">
            <w:pPr>
              <w:spacing w:before="240" w:after="240"/>
              <w:rPr>
                <w:color w:val="000000"/>
              </w:rPr>
            </w:pPr>
            <w:r>
              <w:rPr>
                <w:rFonts w:ascii="Times New Roman" w:eastAsia="Times New Roman" w:hAnsi="Times New Roman" w:cs="Times New Roman"/>
                <w:b/>
                <w:bCs/>
                <w:color w:val="000000"/>
                <w:szCs w:val="20"/>
              </w:rPr>
              <w:t>DPP(-s)</w:t>
            </w:r>
            <w:r>
              <w:rPr>
                <w:rFonts w:ascii="Times New Roman" w:eastAsia="Times New Roman" w:hAnsi="Times New Roman" w:cs="Times New Roman"/>
                <w:color w:val="000000"/>
                <w:szCs w:val="20"/>
              </w:rPr>
              <w:t>):</w:t>
            </w:r>
            <w:r>
              <w:rPr>
                <w:rFonts w:ascii="Times New Roman" w:eastAsia="Times New Roman" w:hAnsi="Times New Roman" w:cs="Times New Roman"/>
                <w:b/>
                <w:bCs/>
                <w:color w:val="000000"/>
                <w:szCs w:val="20"/>
              </w:rPr>
              <w:t xml:space="preserve"> </w:t>
            </w:r>
            <w:r>
              <w:rPr>
                <w:rFonts w:ascii="Times New Roman" w:eastAsia="Times New Roman" w:hAnsi="Times New Roman" w:cs="Times New Roman"/>
                <w:color w:val="000000"/>
                <w:szCs w:val="20"/>
              </w:rPr>
              <w:t>Innovation</w:t>
            </w:r>
            <w:r>
              <w:rPr>
                <w:rFonts w:ascii="Times New Roman" w:eastAsia="Times New Roman" w:hAnsi="Times New Roman" w:cs="Times New Roman"/>
                <w:color w:val="000000"/>
                <w:szCs w:val="20"/>
              </w:rPr>
              <w:t xml:space="preserve"> Norway.</w:t>
            </w:r>
          </w:p>
          <w:p w:rsidR="00A37E99" w:rsidRDefault="00E74D2D">
            <w:pPr>
              <w:spacing w:before="240"/>
              <w:rPr>
                <w:color w:val="000000"/>
              </w:rPr>
            </w:pPr>
            <w:r>
              <w:rPr>
                <w:rFonts w:ascii="Times New Roman" w:eastAsia="Times New Roman" w:hAnsi="Times New Roman" w:cs="Times New Roman"/>
                <w:b/>
                <w:bCs/>
                <w:color w:val="000000"/>
                <w:szCs w:val="20"/>
              </w:rPr>
              <w:t>Other Programme Partner:</w:t>
            </w:r>
            <w:r>
              <w:rPr>
                <w:rFonts w:ascii="Times New Roman" w:eastAsia="Times New Roman" w:hAnsi="Times New Roman" w:cs="Times New Roman"/>
                <w:color w:val="000000"/>
                <w:szCs w:val="20"/>
              </w:rPr>
              <w:t xml:space="preserve"> the Ministry of the Economy and Innovation of the Republic of Lithuania.</w:t>
            </w:r>
          </w:p>
        </w:tc>
      </w:tr>
      <w:tr w:rsidR="00A37E99">
        <w:trPr>
          <w:trHeight w:val="24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Total: EUR 14,402,000</w:t>
            </w:r>
          </w:p>
          <w:p w:rsidR="00A37E99" w:rsidRDefault="00E74D2D">
            <w:pPr>
              <w:spacing w:before="240" w:after="240"/>
              <w:rPr>
                <w:color w:val="000000"/>
              </w:rPr>
            </w:pPr>
            <w:r>
              <w:rPr>
                <w:rFonts w:ascii="Times New Roman" w:eastAsia="Times New Roman" w:hAnsi="Times New Roman" w:cs="Times New Roman"/>
                <w:color w:val="000000"/>
                <w:szCs w:val="20"/>
              </w:rPr>
              <w:t>EEA Grants: EUR 0</w:t>
            </w:r>
          </w:p>
          <w:p w:rsidR="00A37E99" w:rsidRDefault="00E74D2D">
            <w:pPr>
              <w:spacing w:before="240"/>
              <w:rPr>
                <w:color w:val="000000"/>
              </w:rPr>
            </w:pPr>
            <w:r>
              <w:rPr>
                <w:rFonts w:ascii="Times New Roman" w:eastAsia="Times New Roman" w:hAnsi="Times New Roman" w:cs="Times New Roman"/>
                <w:color w:val="000000"/>
                <w:szCs w:val="20"/>
              </w:rPr>
              <w:t>Norway Grants: EUR 14,402,000</w:t>
            </w:r>
          </w:p>
        </w:tc>
      </w:tr>
      <w:tr w:rsidR="00A37E99">
        <w:trPr>
          <w:trHeight w:val="315"/>
          <w:tblCellSpacing w:w="15" w:type="dxa"/>
        </w:trPr>
        <w:tc>
          <w:tcPr>
            <w:tcW w:w="997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STATUS OF THE PROGRAMME:</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Overall progress – Programme </w:t>
            </w:r>
            <w:r>
              <w:rPr>
                <w:rFonts w:ascii="Times New Roman" w:eastAsia="Times New Roman" w:hAnsi="Times New Roman" w:cs="Times New Roman"/>
                <w:b/>
                <w:bCs/>
                <w:color w:val="000000"/>
                <w:szCs w:val="20"/>
              </w:rPr>
              <w:t>development and implementatio</w:t>
            </w:r>
            <w:r>
              <w:rPr>
                <w:rFonts w:ascii="Times New Roman" w:eastAsia="Times New Roman" w:hAnsi="Times New Roman" w:cs="Times New Roman"/>
                <w:color w:val="000000"/>
                <w:szCs w:val="20"/>
              </w:rPr>
              <w:t>n</w:t>
            </w:r>
            <w:r>
              <w:rPr>
                <w:rFonts w:ascii="Times New Roman" w:eastAsia="Times New Roman" w:hAnsi="Times New Roman" w:cs="Times New Roman"/>
                <w:b/>
                <w:bCs/>
                <w:color w:val="000000"/>
                <w:szCs w:val="20"/>
              </w:rPr>
              <w:t xml:space="preserve"> </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Programme agreement signed</w:t>
            </w:r>
            <w:r>
              <w:rPr>
                <w:rFonts w:ascii="Times New Roman" w:eastAsia="Times New Roman" w:hAnsi="Times New Roman" w:cs="Times New Roman"/>
                <w:color w:val="000000"/>
                <w:szCs w:val="20"/>
              </w:rPr>
              <w:t>: 17 September  2019</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Programme launch event</w:t>
            </w:r>
            <w:r>
              <w:rPr>
                <w:rFonts w:ascii="Times New Roman" w:eastAsia="Times New Roman" w:hAnsi="Times New Roman" w:cs="Times New Roman"/>
                <w:color w:val="000000"/>
                <w:szCs w:val="20"/>
              </w:rPr>
              <w:t xml:space="preserve">: 12 November  2019 </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Programme MCS approved by NFC:</w:t>
            </w:r>
            <w:r>
              <w:rPr>
                <w:rFonts w:ascii="Times New Roman" w:eastAsia="Times New Roman" w:hAnsi="Times New Roman" w:cs="Times New Roman"/>
                <w:color w:val="000000"/>
                <w:szCs w:val="20"/>
              </w:rPr>
              <w:t xml:space="preserve"> 20 April 2020.</w:t>
            </w:r>
          </w:p>
          <w:p w:rsidR="00A37E99" w:rsidRDefault="00E74D2D">
            <w:pPr>
              <w:spacing w:before="240" w:after="240"/>
              <w:jc w:val="both"/>
              <w:rPr>
                <w:color w:val="000000"/>
              </w:rPr>
            </w:pPr>
            <w:r>
              <w:rPr>
                <w:color w:val="000000"/>
              </w:rPr>
              <w:t> </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Programme implementation status:</w:t>
            </w:r>
          </w:p>
          <w:p w:rsidR="00A37E99" w:rsidRDefault="00E74D2D">
            <w:pPr>
              <w:spacing w:before="240"/>
              <w:jc w:val="both"/>
              <w:rPr>
                <w:color w:val="000000"/>
              </w:rPr>
            </w:pPr>
            <w:r>
              <w:rPr>
                <w:rFonts w:ascii="Times New Roman" w:eastAsia="Times New Roman" w:hAnsi="Times New Roman" w:cs="Times New Roman"/>
                <w:color w:val="000000"/>
                <w:szCs w:val="20"/>
              </w:rPr>
              <w:lastRenderedPageBreak/>
              <w:t xml:space="preserve">In 2022, Programme projects (which contracts were </w:t>
            </w:r>
            <w:r>
              <w:rPr>
                <w:rFonts w:ascii="Times New Roman" w:eastAsia="Times New Roman" w:hAnsi="Times New Roman" w:cs="Times New Roman"/>
                <w:color w:val="000000"/>
                <w:szCs w:val="20"/>
              </w:rPr>
              <w:t>signed in 2021) continued,  two new open calls were launched. Under the open call (under focus area of green industry innovation (hereinafter – GII) there were 3 new contracts signed at the end of the third quarter of 2022, while the call for the developme</w:t>
            </w:r>
            <w:r>
              <w:rPr>
                <w:rFonts w:ascii="Times New Roman" w:eastAsia="Times New Roman" w:hAnsi="Times New Roman" w:cs="Times New Roman"/>
                <w:color w:val="000000"/>
                <w:szCs w:val="20"/>
              </w:rPr>
              <w:t>nt of business skills was not successful, and no new project contracts were signed.</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lastRenderedPageBreak/>
              <w:t>How specific concerns in the MoU have been addressed:</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Increasing competitiveness of the Lithuanian private enterprises by innovation in two focus areas: GII, including bio</w:t>
            </w:r>
            <w:r>
              <w:rPr>
                <w:rFonts w:ascii="Times New Roman" w:eastAsia="Times New Roman" w:hAnsi="Times New Roman" w:cs="Times New Roman"/>
                <w:b/>
                <w:bCs/>
                <w:color w:val="000000"/>
                <w:szCs w:val="20"/>
              </w:rPr>
              <w:t xml:space="preserve"> economy, and information and communication technologies (hereinafter – ICT).</w:t>
            </w:r>
          </w:p>
          <w:p w:rsidR="00A37E99" w:rsidRDefault="00E74D2D">
            <w:pPr>
              <w:spacing w:before="240"/>
              <w:jc w:val="both"/>
              <w:rPr>
                <w:color w:val="000000"/>
              </w:rPr>
            </w:pPr>
            <w:r>
              <w:rPr>
                <w:rFonts w:ascii="Times New Roman" w:eastAsia="Times New Roman" w:hAnsi="Times New Roman" w:cs="Times New Roman"/>
                <w:color w:val="000000"/>
                <w:szCs w:val="20"/>
              </w:rPr>
              <w:t>The two focus areas are directly transferred to the call texts. Investments in projects are expected to ensure a long-term tangible impact measured by developed, commercialised a</w:t>
            </w:r>
            <w:r>
              <w:rPr>
                <w:rFonts w:ascii="Times New Roman" w:eastAsia="Times New Roman" w:hAnsi="Times New Roman" w:cs="Times New Roman"/>
                <w:color w:val="000000"/>
                <w:szCs w:val="20"/>
              </w:rPr>
              <w:t>nd applied products or technologies, growth in net operational profit and turnover, new jobs created and decrease of CO</w:t>
            </w:r>
            <w:r>
              <w:rPr>
                <w:rFonts w:ascii="Times New Roman" w:eastAsia="Times New Roman" w:hAnsi="Times New Roman" w:cs="Times New Roman"/>
                <w:color w:val="000000"/>
                <w:sz w:val="25"/>
                <w:szCs w:val="25"/>
                <w:vertAlign w:val="subscript"/>
              </w:rPr>
              <w:t>2</w:t>
            </w:r>
            <w:r>
              <w:rPr>
                <w:rFonts w:ascii="Times New Roman" w:eastAsia="Times New Roman" w:hAnsi="Times New Roman" w:cs="Times New Roman"/>
                <w:color w:val="000000"/>
                <w:szCs w:val="20"/>
              </w:rPr>
              <w:t xml:space="preserve"> emissions as well as the energy consumption. Additionally, the Programme designed to stimulate BRs and new collaborative activities bet</w:t>
            </w:r>
            <w:r>
              <w:rPr>
                <w:rFonts w:ascii="Times New Roman" w:eastAsia="Times New Roman" w:hAnsi="Times New Roman" w:cs="Times New Roman"/>
                <w:color w:val="000000"/>
                <w:szCs w:val="20"/>
              </w:rPr>
              <w:t>ween the Lithuanian and Norwegian industry.</w:t>
            </w:r>
          </w:p>
        </w:tc>
      </w:tr>
      <w:tr w:rsidR="00A37E99">
        <w:trPr>
          <w:trHeight w:val="36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Problems related to programme development and implementation, with suggested solutions </w:t>
            </w:r>
          </w:p>
          <w:p w:rsidR="00A37E99" w:rsidRDefault="00E74D2D">
            <w:pPr>
              <w:spacing w:before="240"/>
              <w:rPr>
                <w:color w:val="000000"/>
              </w:rPr>
            </w:pPr>
            <w:r>
              <w:rPr>
                <w:rFonts w:ascii="Calibri" w:eastAsia="Calibri" w:hAnsi="Calibri" w:cs="Calibri"/>
                <w:b/>
                <w:bCs/>
                <w:color w:val="000000"/>
                <w:sz w:val="22"/>
              </w:rPr>
              <w:t> </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The call (which was launched in the first quarter of 2022) for the development of business skills</w:t>
            </w:r>
            <w:r>
              <w:rPr>
                <w:rFonts w:ascii="Times New Roman" w:eastAsia="Times New Roman" w:hAnsi="Times New Roman" w:cs="Times New Roman"/>
                <w:color w:val="000000"/>
                <w:szCs w:val="20"/>
              </w:rPr>
              <w:t xml:space="preserve"> was not successful, because after the eligibility assessment, all 4 submitted applications were rejected.</w:t>
            </w:r>
          </w:p>
          <w:p w:rsidR="00A37E99" w:rsidRDefault="00E74D2D">
            <w:pPr>
              <w:spacing w:before="240" w:after="240"/>
              <w:jc w:val="both"/>
              <w:rPr>
                <w:color w:val="000000"/>
              </w:rPr>
            </w:pPr>
            <w:r>
              <w:rPr>
                <w:rFonts w:ascii="Times New Roman" w:eastAsia="Times New Roman" w:hAnsi="Times New Roman" w:cs="Times New Roman"/>
                <w:color w:val="000000"/>
                <w:szCs w:val="20"/>
              </w:rPr>
              <w:t>During the Cooperation Committee meeting, which took place on 23 June 2022, it was agreed to use unallocated funds under the Programme by launching a</w:t>
            </w:r>
            <w:r>
              <w:rPr>
                <w:rFonts w:ascii="Times New Roman" w:eastAsia="Times New Roman" w:hAnsi="Times New Roman" w:cs="Times New Roman"/>
                <w:color w:val="000000"/>
                <w:szCs w:val="20"/>
              </w:rPr>
              <w:t xml:space="preserve"> new call (under focus area of ICT), which shall focus on application, i.e., automation and digitalization of manufacturing processes in Lithuanian private entities. The Call was launched on 4 January 2023.</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Programme implementation was quite slow in 2022. </w:t>
            </w:r>
            <w:r>
              <w:rPr>
                <w:rFonts w:ascii="Times New Roman" w:eastAsia="Times New Roman" w:hAnsi="Times New Roman" w:cs="Times New Roman"/>
                <w:color w:val="000000"/>
                <w:szCs w:val="20"/>
              </w:rPr>
              <w:t>The main reasons:</w:t>
            </w:r>
          </w:p>
          <w:p w:rsidR="00A37E99" w:rsidRDefault="00E74D2D">
            <w:pPr>
              <w:spacing w:before="240" w:after="240"/>
              <w:jc w:val="both"/>
              <w:rPr>
                <w:color w:val="000000"/>
              </w:rPr>
            </w:pPr>
            <w:r>
              <w:rPr>
                <w:rFonts w:ascii="Times New Roman" w:eastAsia="Times New Roman" w:hAnsi="Times New Roman" w:cs="Times New Roman"/>
                <w:color w:val="000000"/>
                <w:szCs w:val="20"/>
              </w:rPr>
              <w:t>-project promoters tend to postpone procurements, although this process takes a lot of time;</w:t>
            </w:r>
          </w:p>
          <w:p w:rsidR="00A37E99" w:rsidRDefault="00E74D2D">
            <w:pPr>
              <w:spacing w:before="240" w:after="240"/>
              <w:jc w:val="both"/>
              <w:rPr>
                <w:color w:val="000000"/>
              </w:rPr>
            </w:pPr>
            <w:r>
              <w:rPr>
                <w:rFonts w:ascii="Times New Roman" w:eastAsia="Times New Roman" w:hAnsi="Times New Roman" w:cs="Times New Roman"/>
                <w:color w:val="000000"/>
                <w:szCs w:val="20"/>
              </w:rPr>
              <w:t>- project partners, tend to join projects later than it was planned, and also fail to submit relevant documents for the incurred expenditure to b</w:t>
            </w:r>
            <w:r>
              <w:rPr>
                <w:rFonts w:ascii="Times New Roman" w:eastAsia="Times New Roman" w:hAnsi="Times New Roman" w:cs="Times New Roman"/>
                <w:color w:val="000000"/>
                <w:szCs w:val="20"/>
              </w:rPr>
              <w:t>e declared on time.</w:t>
            </w:r>
          </w:p>
          <w:p w:rsidR="00A37E99" w:rsidRDefault="00E74D2D">
            <w:pPr>
              <w:spacing w:before="240"/>
              <w:jc w:val="both"/>
              <w:rPr>
                <w:color w:val="000000"/>
              </w:rPr>
            </w:pPr>
            <w:r>
              <w:rPr>
                <w:rFonts w:ascii="Times New Roman" w:eastAsia="Times New Roman" w:hAnsi="Times New Roman" w:cs="Times New Roman"/>
                <w:color w:val="000000"/>
                <w:szCs w:val="20"/>
              </w:rPr>
              <w:t>In order to manage these risks, PO regularly meets and communicates with project promoters and partners, advises on issues of concern, draws up action plans by mutual agreement and monitors their implementation.</w:t>
            </w:r>
          </w:p>
        </w:tc>
      </w:tr>
      <w:tr w:rsidR="00A37E99">
        <w:trPr>
          <w:trHeight w:val="36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Progress in strengthening BR with Donor State entities, including the use of bilateral funds allocated to the programme </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jc w:val="both"/>
              <w:rPr>
                <w:color w:val="000000"/>
              </w:rPr>
            </w:pPr>
            <w:r>
              <w:rPr>
                <w:rFonts w:ascii="Times New Roman" w:eastAsia="Times New Roman" w:hAnsi="Times New Roman" w:cs="Times New Roman"/>
                <w:color w:val="000000"/>
                <w:szCs w:val="20"/>
              </w:rPr>
              <w:t xml:space="preserve">Bilateral Outcome: All 20 contracted projects are bilateral and are being implemented with at least one Norwegian partner. High number </w:t>
            </w:r>
            <w:r>
              <w:rPr>
                <w:rFonts w:ascii="Times New Roman" w:eastAsia="Times New Roman" w:hAnsi="Times New Roman" w:cs="Times New Roman"/>
                <w:color w:val="000000"/>
                <w:szCs w:val="20"/>
              </w:rPr>
              <w:t>of bilateral projects was achieved by a combination of communication activities implemented prior to launch of the calls.</w:t>
            </w:r>
          </w:p>
        </w:tc>
      </w:tr>
      <w:tr w:rsidR="00A37E99">
        <w:trPr>
          <w:trHeight w:val="36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Work plan outlining the milestones for the implementation of the programme over the </w:t>
            </w:r>
            <w:r>
              <w:rPr>
                <w:rFonts w:ascii="Times New Roman" w:eastAsia="Times New Roman" w:hAnsi="Times New Roman" w:cs="Times New Roman"/>
                <w:b/>
                <w:bCs/>
                <w:color w:val="000000"/>
                <w:szCs w:val="20"/>
              </w:rPr>
              <w:lastRenderedPageBreak/>
              <w:t>next year (according to the supplementary informa</w:t>
            </w:r>
            <w:r>
              <w:rPr>
                <w:rFonts w:ascii="Times New Roman" w:eastAsia="Times New Roman" w:hAnsi="Times New Roman" w:cs="Times New Roman"/>
                <w:b/>
                <w:bCs/>
                <w:color w:val="000000"/>
                <w:szCs w:val="20"/>
              </w:rPr>
              <w:t xml:space="preserve">tion) – including, as relevant, expected calls, meetings of the CC(s), and information and communication activities </w:t>
            </w:r>
          </w:p>
        </w:tc>
        <w:tc>
          <w:tcPr>
            <w:tcW w:w="69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1696"/>
              <w:gridCol w:w="5204"/>
            </w:tblGrid>
            <w:tr w:rsidR="00A37E99">
              <w:trPr>
                <w:trHeight w:val="105"/>
                <w:tblCellSpacing w:w="15" w:type="dxa"/>
              </w:trPr>
              <w:tc>
                <w:tcPr>
                  <w:tcW w:w="1125" w:type="dxa"/>
                  <w:tcMar>
                    <w:top w:w="15" w:type="dxa"/>
                    <w:left w:w="15" w:type="dxa"/>
                    <w:bottom w:w="15" w:type="dxa"/>
                    <w:right w:w="15" w:type="dxa"/>
                  </w:tcMar>
                  <w:hideMark/>
                </w:tcPr>
                <w:p w:rsidR="00A37E99" w:rsidRDefault="00E74D2D">
                  <w:pPr>
                    <w:spacing w:after="240"/>
                    <w:rPr>
                      <w:color w:val="000000"/>
                    </w:rPr>
                  </w:pPr>
                  <w:r>
                    <w:rPr>
                      <w:rFonts w:ascii="Times New Roman" w:eastAsia="Times New Roman" w:hAnsi="Times New Roman" w:cs="Times New Roman"/>
                      <w:b/>
                      <w:bCs/>
                      <w:color w:val="000000"/>
                      <w:szCs w:val="20"/>
                    </w:rPr>
                    <w:lastRenderedPageBreak/>
                    <w:t>Timing</w:t>
                  </w:r>
                </w:p>
                <w:p w:rsidR="00A37E99" w:rsidRDefault="00E74D2D">
                  <w:pPr>
                    <w:spacing w:before="240" w:after="240"/>
                    <w:rPr>
                      <w:color w:val="000000"/>
                    </w:rPr>
                  </w:pPr>
                  <w:r>
                    <w:rPr>
                      <w:rFonts w:ascii="Times New Roman" w:eastAsia="Times New Roman" w:hAnsi="Times New Roman" w:cs="Times New Roman"/>
                      <w:i/>
                      <w:iCs/>
                      <w:color w:val="000000"/>
                      <w:szCs w:val="20"/>
                    </w:rPr>
                    <w:lastRenderedPageBreak/>
                    <w:t>04/01/2023</w:t>
                  </w:r>
                </w:p>
                <w:p w:rsidR="00A37E99" w:rsidRDefault="00E74D2D">
                  <w:pPr>
                    <w:spacing w:before="240" w:after="240"/>
                    <w:rPr>
                      <w:color w:val="000000"/>
                    </w:rPr>
                  </w:pPr>
                  <w:r>
                    <w:rPr>
                      <w:rFonts w:ascii="Times New Roman" w:eastAsia="Times New Roman" w:hAnsi="Times New Roman" w:cs="Times New Roman"/>
                      <w:i/>
                      <w:iCs/>
                      <w:color w:val="000000"/>
                      <w:szCs w:val="20"/>
                    </w:rPr>
                    <w:t>28/03/2023</w:t>
                  </w:r>
                </w:p>
                <w:p w:rsidR="00A37E99" w:rsidRDefault="00E74D2D">
                  <w:pPr>
                    <w:spacing w:before="240" w:after="240"/>
                    <w:rPr>
                      <w:color w:val="000000"/>
                    </w:rPr>
                  </w:pPr>
                  <w:r>
                    <w:rPr>
                      <w:rFonts w:ascii="Times New Roman" w:eastAsia="Times New Roman" w:hAnsi="Times New Roman" w:cs="Times New Roman"/>
                      <w:i/>
                      <w:iCs/>
                      <w:color w:val="000000"/>
                      <w:szCs w:val="20"/>
                    </w:rPr>
                    <w:t>03/04/2023</w:t>
                  </w:r>
                </w:p>
                <w:p w:rsidR="00A37E99" w:rsidRDefault="00E74D2D">
                  <w:pPr>
                    <w:spacing w:before="240" w:after="240"/>
                    <w:rPr>
                      <w:color w:val="000000"/>
                    </w:rPr>
                  </w:pPr>
                  <w:r>
                    <w:rPr>
                      <w:rFonts w:ascii="Times New Roman" w:eastAsia="Times New Roman" w:hAnsi="Times New Roman" w:cs="Times New Roman"/>
                      <w:i/>
                      <w:iCs/>
                      <w:color w:val="000000"/>
                      <w:szCs w:val="20"/>
                    </w:rPr>
                    <w:t>20/04/2023</w:t>
                  </w:r>
                </w:p>
                <w:p w:rsidR="00A37E99" w:rsidRDefault="00E74D2D">
                  <w:pPr>
                    <w:spacing w:before="240" w:after="240"/>
                    <w:rPr>
                      <w:color w:val="000000"/>
                    </w:rPr>
                  </w:pPr>
                  <w:r>
                    <w:rPr>
                      <w:rFonts w:ascii="Times New Roman" w:eastAsia="Times New Roman" w:hAnsi="Times New Roman" w:cs="Times New Roman"/>
                      <w:i/>
                      <w:iCs/>
                      <w:color w:val="000000"/>
                      <w:szCs w:val="20"/>
                    </w:rPr>
                    <w:t>30/04/2023</w:t>
                  </w:r>
                </w:p>
                <w:p w:rsidR="00A37E99" w:rsidRDefault="00E74D2D">
                  <w:pPr>
                    <w:spacing w:before="240" w:after="240"/>
                    <w:rPr>
                      <w:color w:val="000000"/>
                    </w:rPr>
                  </w:pPr>
                  <w:r>
                    <w:rPr>
                      <w:rFonts w:ascii="Times New Roman" w:eastAsia="Times New Roman" w:hAnsi="Times New Roman" w:cs="Times New Roman"/>
                      <w:i/>
                      <w:iCs/>
                      <w:color w:val="000000"/>
                      <w:szCs w:val="20"/>
                    </w:rPr>
                    <w:t>19/05/2023</w:t>
                  </w:r>
                </w:p>
                <w:p w:rsidR="00A37E99" w:rsidRDefault="00E74D2D">
                  <w:pPr>
                    <w:spacing w:before="240" w:after="240"/>
                    <w:rPr>
                      <w:color w:val="000000"/>
                    </w:rPr>
                  </w:pPr>
                  <w:r>
                    <w:rPr>
                      <w:rFonts w:ascii="Times New Roman" w:eastAsia="Times New Roman" w:hAnsi="Times New Roman" w:cs="Times New Roman"/>
                      <w:i/>
                      <w:iCs/>
                      <w:color w:val="000000"/>
                      <w:szCs w:val="20"/>
                    </w:rPr>
                    <w:t>8/09/2023</w:t>
                  </w:r>
                </w:p>
                <w:p w:rsidR="00A37E99" w:rsidRDefault="00E74D2D">
                  <w:pPr>
                    <w:spacing w:before="240"/>
                    <w:rPr>
                      <w:color w:val="000000"/>
                    </w:rPr>
                  </w:pPr>
                  <w:r>
                    <w:rPr>
                      <w:rFonts w:ascii="Times New Roman" w:eastAsia="Times New Roman" w:hAnsi="Times New Roman" w:cs="Times New Roman"/>
                      <w:i/>
                      <w:iCs/>
                      <w:color w:val="000000"/>
                      <w:szCs w:val="20"/>
                    </w:rPr>
                    <w:t>17/11/2023</w:t>
                  </w:r>
                </w:p>
              </w:tc>
              <w:tc>
                <w:tcPr>
                  <w:tcW w:w="5835" w:type="dxa"/>
                  <w:tcMar>
                    <w:top w:w="15" w:type="dxa"/>
                    <w:left w:w="15" w:type="dxa"/>
                    <w:bottom w:w="15" w:type="dxa"/>
                    <w:right w:w="15" w:type="dxa"/>
                  </w:tcMar>
                  <w:hideMark/>
                </w:tcPr>
                <w:p w:rsidR="00A37E99" w:rsidRDefault="00E74D2D">
                  <w:pPr>
                    <w:spacing w:after="240"/>
                    <w:rPr>
                      <w:color w:val="000000"/>
                    </w:rPr>
                  </w:pPr>
                  <w:r>
                    <w:rPr>
                      <w:rFonts w:ascii="Times New Roman" w:eastAsia="Times New Roman" w:hAnsi="Times New Roman" w:cs="Times New Roman"/>
                      <w:b/>
                      <w:bCs/>
                      <w:color w:val="000000"/>
                      <w:szCs w:val="20"/>
                    </w:rPr>
                    <w:lastRenderedPageBreak/>
                    <w:t>Milestone</w:t>
                  </w:r>
                </w:p>
                <w:p w:rsidR="00A37E99" w:rsidRDefault="00E74D2D">
                  <w:pPr>
                    <w:spacing w:before="240" w:after="240"/>
                    <w:rPr>
                      <w:color w:val="000000"/>
                    </w:rPr>
                  </w:pPr>
                  <w:r>
                    <w:rPr>
                      <w:rFonts w:ascii="Times New Roman" w:eastAsia="Times New Roman" w:hAnsi="Times New Roman" w:cs="Times New Roman"/>
                      <w:i/>
                      <w:iCs/>
                      <w:color w:val="000000"/>
                      <w:szCs w:val="20"/>
                    </w:rPr>
                    <w:t xml:space="preserve">Open call No 4 for projects under </w:t>
                  </w:r>
                  <w:r>
                    <w:rPr>
                      <w:rFonts w:ascii="Times New Roman" w:eastAsia="Times New Roman" w:hAnsi="Times New Roman" w:cs="Times New Roman"/>
                      <w:i/>
                      <w:iCs/>
                      <w:color w:val="000000"/>
                      <w:szCs w:val="20"/>
                    </w:rPr>
                    <w:t xml:space="preserve">the ICT focus area </w:t>
                  </w:r>
                  <w:r>
                    <w:rPr>
                      <w:rFonts w:ascii="Times New Roman" w:eastAsia="Times New Roman" w:hAnsi="Times New Roman" w:cs="Times New Roman"/>
                      <w:i/>
                      <w:iCs/>
                      <w:color w:val="000000"/>
                      <w:szCs w:val="20"/>
                    </w:rPr>
                    <w:lastRenderedPageBreak/>
                    <w:t>is launched</w:t>
                  </w:r>
                </w:p>
                <w:p w:rsidR="00A37E99" w:rsidRDefault="00E74D2D">
                  <w:pPr>
                    <w:spacing w:before="240" w:after="240"/>
                    <w:rPr>
                      <w:color w:val="000000"/>
                    </w:rPr>
                  </w:pPr>
                  <w:r>
                    <w:rPr>
                      <w:rFonts w:ascii="Times New Roman" w:eastAsia="Times New Roman" w:hAnsi="Times New Roman" w:cs="Times New Roman"/>
                      <w:i/>
                      <w:iCs/>
                      <w:color w:val="000000"/>
                      <w:szCs w:val="20"/>
                    </w:rPr>
                    <w:t>Cooperation Committee meeting</w:t>
                  </w:r>
                </w:p>
                <w:p w:rsidR="00A37E99" w:rsidRDefault="00E74D2D">
                  <w:pPr>
                    <w:spacing w:before="240" w:after="240"/>
                    <w:rPr>
                      <w:color w:val="000000"/>
                    </w:rPr>
                  </w:pPr>
                  <w:r>
                    <w:rPr>
                      <w:rFonts w:ascii="Times New Roman" w:eastAsia="Times New Roman" w:hAnsi="Times New Roman" w:cs="Times New Roman"/>
                      <w:i/>
                      <w:iCs/>
                      <w:color w:val="000000"/>
                      <w:szCs w:val="20"/>
                    </w:rPr>
                    <w:t>Changes in PO organisational structure</w:t>
                  </w:r>
                </w:p>
                <w:p w:rsidR="00A37E99" w:rsidRDefault="00E74D2D">
                  <w:pPr>
                    <w:spacing w:before="240" w:after="240"/>
                    <w:rPr>
                      <w:color w:val="000000"/>
                    </w:rPr>
                  </w:pPr>
                  <w:r>
                    <w:rPr>
                      <w:rFonts w:ascii="Times New Roman" w:eastAsia="Times New Roman" w:hAnsi="Times New Roman" w:cs="Times New Roman"/>
                      <w:i/>
                      <w:iCs/>
                      <w:color w:val="000000"/>
                      <w:szCs w:val="20"/>
                    </w:rPr>
                    <w:t>Selection committee meeting</w:t>
                  </w:r>
                </w:p>
                <w:p w:rsidR="00A37E99" w:rsidRDefault="00E74D2D">
                  <w:pPr>
                    <w:spacing w:before="240" w:after="240"/>
                    <w:rPr>
                      <w:color w:val="000000"/>
                    </w:rPr>
                  </w:pPr>
                  <w:r>
                    <w:rPr>
                      <w:rFonts w:ascii="Times New Roman" w:eastAsia="Times New Roman" w:hAnsi="Times New Roman" w:cs="Times New Roman"/>
                      <w:i/>
                      <w:iCs/>
                      <w:color w:val="000000"/>
                      <w:szCs w:val="20"/>
                    </w:rPr>
                    <w:t>Projects are selected / Decision to finance projects is made</w:t>
                  </w:r>
                </w:p>
                <w:p w:rsidR="00A37E99" w:rsidRDefault="00E74D2D">
                  <w:pPr>
                    <w:spacing w:before="240" w:after="240"/>
                    <w:rPr>
                      <w:color w:val="000000"/>
                    </w:rPr>
                  </w:pPr>
                  <w:r>
                    <w:rPr>
                      <w:rFonts w:ascii="Times New Roman" w:eastAsia="Times New Roman" w:hAnsi="Times New Roman" w:cs="Times New Roman"/>
                      <w:i/>
                      <w:iCs/>
                      <w:color w:val="000000"/>
                      <w:szCs w:val="20"/>
                    </w:rPr>
                    <w:t>Contracts with Project Promoters are signed</w:t>
                  </w:r>
                </w:p>
                <w:p w:rsidR="00A37E99" w:rsidRDefault="00E74D2D">
                  <w:pPr>
                    <w:spacing w:before="240" w:after="240"/>
                    <w:rPr>
                      <w:color w:val="000000"/>
                    </w:rPr>
                  </w:pPr>
                  <w:r>
                    <w:rPr>
                      <w:rFonts w:ascii="Times New Roman" w:eastAsia="Times New Roman" w:hAnsi="Times New Roman" w:cs="Times New Roman"/>
                      <w:i/>
                      <w:iCs/>
                      <w:color w:val="000000"/>
                      <w:szCs w:val="20"/>
                    </w:rPr>
                    <w:t>Mid-term event</w:t>
                  </w:r>
                </w:p>
                <w:p w:rsidR="00A37E99" w:rsidRDefault="00E74D2D">
                  <w:pPr>
                    <w:spacing w:before="240"/>
                    <w:rPr>
                      <w:color w:val="000000"/>
                    </w:rPr>
                  </w:pPr>
                  <w:r>
                    <w:rPr>
                      <w:rFonts w:ascii="Times New Roman" w:eastAsia="Times New Roman" w:hAnsi="Times New Roman" w:cs="Times New Roman"/>
                      <w:i/>
                      <w:iCs/>
                      <w:color w:val="000000"/>
                      <w:szCs w:val="20"/>
                    </w:rPr>
                    <w:t>Cooperat</w:t>
                  </w:r>
                  <w:r>
                    <w:rPr>
                      <w:rFonts w:ascii="Times New Roman" w:eastAsia="Times New Roman" w:hAnsi="Times New Roman" w:cs="Times New Roman"/>
                      <w:i/>
                      <w:iCs/>
                      <w:color w:val="000000"/>
                      <w:szCs w:val="20"/>
                    </w:rPr>
                    <w:t>ion Committee meeting</w:t>
                  </w:r>
                </w:p>
              </w:tc>
            </w:tr>
          </w:tbl>
          <w:p w:rsidR="00A37E99" w:rsidRDefault="00A37E99">
            <w:pPr>
              <w:rPr>
                <w:color w:val="000000"/>
              </w:rPr>
            </w:pPr>
          </w:p>
        </w:tc>
      </w:tr>
    </w:tbl>
    <w:p w:rsidR="00A37E99" w:rsidRDefault="00E74D2D">
      <w:pPr>
        <w:pStyle w:val="Antrat2"/>
        <w:spacing w:before="299" w:after="299"/>
        <w:rPr>
          <w:rFonts w:ascii="Calibri" w:eastAsia="Calibri" w:hAnsi="Calibri" w:cs="Calibri"/>
          <w:bCs/>
          <w:color w:val="2E74B5"/>
          <w:sz w:val="36"/>
          <w:szCs w:val="36"/>
        </w:rPr>
      </w:pPr>
      <w:bookmarkStart w:id="9" w:name="_Toc256000007"/>
      <w:r>
        <w:lastRenderedPageBreak/>
        <w:t>LT-ENVIRONMENT Environment, Energy, Climate Change</w:t>
      </w:r>
      <w:bookmarkEnd w:id="9"/>
    </w:p>
    <w:p w:rsidR="00A37E99" w:rsidRDefault="00E74D2D">
      <w:pPr>
        <w:spacing w:before="240" w:after="240"/>
      </w:pPr>
      <w:r>
        <w:t> </w:t>
      </w:r>
    </w:p>
    <w:tbl>
      <w:tblPr>
        <w:tblW w:w="10050"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3044"/>
        <w:gridCol w:w="7006"/>
      </w:tblGrid>
      <w:tr w:rsidR="00A37E99">
        <w:trPr>
          <w:trHeight w:val="30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COMMON INFORMATION:</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PO: </w:t>
            </w:r>
            <w:r>
              <w:rPr>
                <w:rFonts w:ascii="Times New Roman" w:eastAsia="Times New Roman" w:hAnsi="Times New Roman" w:cs="Times New Roman"/>
                <w:color w:val="000000"/>
                <w:szCs w:val="20"/>
              </w:rPr>
              <w:t>CPMA.</w:t>
            </w:r>
          </w:p>
          <w:p w:rsidR="00A37E99" w:rsidRDefault="00E74D2D">
            <w:pPr>
              <w:spacing w:before="240" w:after="240"/>
              <w:rPr>
                <w:color w:val="000000"/>
              </w:rPr>
            </w:pPr>
            <w:r>
              <w:rPr>
                <w:rFonts w:ascii="Times New Roman" w:eastAsia="Times New Roman" w:hAnsi="Times New Roman" w:cs="Times New Roman"/>
                <w:b/>
                <w:bCs/>
                <w:color w:val="000000"/>
                <w:szCs w:val="20"/>
              </w:rPr>
              <w:t xml:space="preserve">DPP(s): </w:t>
            </w:r>
            <w:r>
              <w:rPr>
                <w:rFonts w:ascii="Times New Roman" w:eastAsia="Times New Roman" w:hAnsi="Times New Roman" w:cs="Times New Roman"/>
                <w:color w:val="000000"/>
                <w:szCs w:val="20"/>
              </w:rPr>
              <w:t>N/A.</w:t>
            </w:r>
          </w:p>
          <w:p w:rsidR="00A37E99" w:rsidRDefault="00E74D2D">
            <w:pPr>
              <w:spacing w:before="240" w:after="240"/>
              <w:rPr>
                <w:color w:val="000000"/>
              </w:rPr>
            </w:pPr>
            <w:r>
              <w:rPr>
                <w:rFonts w:ascii="Times New Roman" w:eastAsia="Times New Roman" w:hAnsi="Times New Roman" w:cs="Times New Roman"/>
                <w:b/>
                <w:bCs/>
                <w:color w:val="000000"/>
                <w:szCs w:val="20"/>
              </w:rPr>
              <w:t>Other Programme Partner(s):</w:t>
            </w:r>
            <w:r>
              <w:rPr>
                <w:rFonts w:ascii="Calibri" w:eastAsia="Calibri" w:hAnsi="Calibri" w:cs="Calibri"/>
                <w:color w:val="000000"/>
                <w:sz w:val="22"/>
              </w:rPr>
              <w:t xml:space="preserve"> </w:t>
            </w:r>
          </w:p>
          <w:p w:rsidR="00A37E99" w:rsidRDefault="00E74D2D">
            <w:pPr>
              <w:spacing w:before="240" w:after="240"/>
              <w:rPr>
                <w:color w:val="000000"/>
              </w:rPr>
            </w:pPr>
            <w:r>
              <w:rPr>
                <w:rFonts w:ascii="Times New Roman" w:eastAsia="Times New Roman" w:hAnsi="Times New Roman" w:cs="Times New Roman"/>
                <w:color w:val="000000"/>
                <w:szCs w:val="20"/>
              </w:rPr>
              <w:t xml:space="preserve">The Ministry of Environment of the Republic of Lithuania </w:t>
            </w:r>
          </w:p>
          <w:p w:rsidR="00A37E99" w:rsidRDefault="00E74D2D">
            <w:pPr>
              <w:spacing w:before="240" w:after="240"/>
              <w:rPr>
                <w:color w:val="000000"/>
              </w:rPr>
            </w:pPr>
            <w:r>
              <w:rPr>
                <w:rFonts w:ascii="Times New Roman" w:eastAsia="Times New Roman" w:hAnsi="Times New Roman" w:cs="Times New Roman"/>
                <w:color w:val="000000"/>
                <w:szCs w:val="20"/>
              </w:rPr>
              <w:t xml:space="preserve">The Ministry of Energy of the Republic of Lithuania </w:t>
            </w:r>
          </w:p>
          <w:p w:rsidR="00A37E99" w:rsidRDefault="00E74D2D">
            <w:pPr>
              <w:spacing w:before="240"/>
              <w:rPr>
                <w:color w:val="000000"/>
              </w:rPr>
            </w:pPr>
            <w:r>
              <w:rPr>
                <w:rFonts w:ascii="Times New Roman" w:eastAsia="Times New Roman" w:hAnsi="Times New Roman" w:cs="Times New Roman"/>
                <w:color w:val="000000"/>
                <w:szCs w:val="20"/>
              </w:rPr>
              <w:t xml:space="preserve">The Ministry of the Interior of the Republic of Lithuania </w:t>
            </w:r>
          </w:p>
        </w:tc>
      </w:tr>
      <w:tr w:rsidR="00A37E99">
        <w:trPr>
          <w:trHeight w:val="24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Total: EUR 12,000,000</w:t>
            </w:r>
          </w:p>
          <w:p w:rsidR="00A37E99" w:rsidRDefault="00E74D2D">
            <w:pPr>
              <w:spacing w:before="240" w:after="240"/>
              <w:rPr>
                <w:color w:val="000000"/>
              </w:rPr>
            </w:pPr>
            <w:r>
              <w:rPr>
                <w:rFonts w:ascii="Times New Roman" w:eastAsia="Times New Roman" w:hAnsi="Times New Roman" w:cs="Times New Roman"/>
                <w:color w:val="000000"/>
                <w:szCs w:val="20"/>
              </w:rPr>
              <w:t>EEA Grant: EUR 0</w:t>
            </w:r>
          </w:p>
          <w:p w:rsidR="00A37E99" w:rsidRDefault="00E74D2D">
            <w:pPr>
              <w:spacing w:before="240"/>
              <w:rPr>
                <w:color w:val="000000"/>
              </w:rPr>
            </w:pPr>
            <w:r>
              <w:rPr>
                <w:rFonts w:ascii="Times New Roman" w:eastAsia="Times New Roman" w:hAnsi="Times New Roman" w:cs="Times New Roman"/>
                <w:color w:val="000000"/>
                <w:szCs w:val="20"/>
              </w:rPr>
              <w:t>Norway Grant: EUR 12,000,000</w:t>
            </w:r>
          </w:p>
        </w:tc>
      </w:tr>
      <w:tr w:rsidR="00A37E99">
        <w:trPr>
          <w:trHeight w:val="24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STATUS OF THE PROGRAMME:</w:t>
            </w:r>
          </w:p>
        </w:tc>
      </w:tr>
      <w:tr w:rsidR="00A37E99">
        <w:trPr>
          <w:trHeight w:val="24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Overall progress – Programme </w:t>
            </w:r>
            <w:r>
              <w:rPr>
                <w:rFonts w:ascii="Times New Roman" w:eastAsia="Times New Roman" w:hAnsi="Times New Roman" w:cs="Times New Roman"/>
                <w:b/>
                <w:bCs/>
                <w:color w:val="000000"/>
                <w:szCs w:val="20"/>
              </w:rPr>
              <w:t>development and implementation:</w:t>
            </w:r>
          </w:p>
          <w:p w:rsidR="00A37E99" w:rsidRDefault="00E74D2D">
            <w:pPr>
              <w:spacing w:before="240"/>
              <w:rPr>
                <w:color w:val="000000"/>
              </w:rPr>
            </w:pPr>
            <w:r>
              <w:rPr>
                <w:rFonts w:ascii="Calibri" w:eastAsia="Calibri" w:hAnsi="Calibri" w:cs="Calibri"/>
                <w:b/>
                <w:bCs/>
                <w:color w:val="000000"/>
                <w:sz w:val="22"/>
              </w:rPr>
              <w:t> </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 xml:space="preserve">Signature of the programme agreement: </w:t>
            </w:r>
            <w:r>
              <w:rPr>
                <w:rFonts w:ascii="Times New Roman" w:eastAsia="Times New Roman" w:hAnsi="Times New Roman" w:cs="Times New Roman"/>
                <w:color w:val="000000"/>
                <w:szCs w:val="20"/>
              </w:rPr>
              <w:t>11</w:t>
            </w:r>
            <w:r>
              <w:rPr>
                <w:rFonts w:ascii="Times New Roman" w:eastAsia="Times New Roman" w:hAnsi="Times New Roman" w:cs="Times New Roman"/>
                <w:b/>
                <w:bCs/>
                <w:color w:val="000000"/>
                <w:szCs w:val="20"/>
              </w:rPr>
              <w:t xml:space="preserve"> </w:t>
            </w:r>
            <w:r>
              <w:rPr>
                <w:rFonts w:ascii="Times New Roman" w:eastAsia="Times New Roman" w:hAnsi="Times New Roman" w:cs="Times New Roman"/>
                <w:color w:val="000000"/>
                <w:szCs w:val="20"/>
              </w:rPr>
              <w:t>February  2020</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Programme implementation status:</w:t>
            </w:r>
          </w:p>
          <w:p w:rsidR="00A37E99" w:rsidRDefault="00E74D2D">
            <w:pPr>
              <w:spacing w:before="240"/>
              <w:jc w:val="both"/>
              <w:rPr>
                <w:color w:val="000000"/>
              </w:rPr>
            </w:pPr>
            <w:r>
              <w:rPr>
                <w:rFonts w:ascii="Times New Roman" w:eastAsia="Times New Roman" w:hAnsi="Times New Roman" w:cs="Times New Roman"/>
                <w:color w:val="000000"/>
                <w:szCs w:val="20"/>
              </w:rPr>
              <w:t xml:space="preserve">Seven pre-defined projects were ongoing; in 2022, project promoters were carrying out public procurements to purchase goods and </w:t>
            </w:r>
            <w:r>
              <w:rPr>
                <w:rFonts w:ascii="Times New Roman" w:eastAsia="Times New Roman" w:hAnsi="Times New Roman" w:cs="Times New Roman"/>
                <w:color w:val="000000"/>
                <w:szCs w:val="20"/>
              </w:rPr>
              <w:t>services in the projects. The main activities are being implemented in most of the projects, but not all projects have demonstrated an impact on Programme’s results framework yet.</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lastRenderedPageBreak/>
              <w:t>How specific concerns in the MoU have been addressed:</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All the specific conc</w:t>
            </w:r>
            <w:r>
              <w:rPr>
                <w:rFonts w:ascii="Times New Roman" w:eastAsia="Times New Roman" w:hAnsi="Times New Roman" w:cs="Times New Roman"/>
                <w:b/>
                <w:bCs/>
                <w:color w:val="000000"/>
                <w:szCs w:val="20"/>
              </w:rPr>
              <w:t>erns stated in the MoU are relevant and now are at the implementation stage.</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Decommissioning of Ignalina Nuclear Power Plant and secure waste management will be addressed by PDP 4 “Safety of Ignalina NPP Radioactive Waste Management” with Ignalina Nuclear </w:t>
            </w:r>
            <w:r>
              <w:rPr>
                <w:rFonts w:ascii="Times New Roman" w:eastAsia="Times New Roman" w:hAnsi="Times New Roman" w:cs="Times New Roman"/>
                <w:color w:val="000000"/>
                <w:szCs w:val="20"/>
              </w:rPr>
              <w:t>Power Plant acting as the project promoter and the Norwegian Radiation and Nuclear Safety Authority acting as DPP. </w:t>
            </w:r>
          </w:p>
          <w:p w:rsidR="00A37E99" w:rsidRDefault="00E74D2D">
            <w:pPr>
              <w:spacing w:before="240" w:after="240"/>
              <w:jc w:val="both"/>
              <w:rPr>
                <w:color w:val="000000"/>
              </w:rPr>
            </w:pPr>
            <w:r>
              <w:rPr>
                <w:rFonts w:ascii="Times New Roman" w:eastAsia="Times New Roman" w:hAnsi="Times New Roman" w:cs="Times New Roman"/>
                <w:color w:val="000000"/>
                <w:szCs w:val="20"/>
              </w:rPr>
              <w:t>The establishment of an early warning system on nuclear safety of Lithuania will be addressed by PDP 7 “Development of An Early Warning Syst</w:t>
            </w:r>
            <w:r>
              <w:rPr>
                <w:rFonts w:ascii="Times New Roman" w:eastAsia="Times New Roman" w:hAnsi="Times New Roman" w:cs="Times New Roman"/>
                <w:color w:val="000000"/>
                <w:szCs w:val="20"/>
              </w:rPr>
              <w:t>em on Nuclear Emergency of Lithuania“ with the State Fire and Rescue Service acting as the project promoter and the Norwegian Radiation and Nuclear Safety Authority acting as DPP.</w:t>
            </w:r>
          </w:p>
          <w:p w:rsidR="00A37E99" w:rsidRDefault="00E74D2D">
            <w:pPr>
              <w:spacing w:before="240"/>
              <w:jc w:val="both"/>
              <w:rPr>
                <w:color w:val="000000"/>
              </w:rPr>
            </w:pPr>
            <w:r>
              <w:rPr>
                <w:rFonts w:ascii="Times New Roman" w:eastAsia="Times New Roman" w:hAnsi="Times New Roman" w:cs="Times New Roman"/>
                <w:color w:val="000000"/>
                <w:szCs w:val="20"/>
              </w:rPr>
              <w:t xml:space="preserve">Measures related to hazardous waste and marine management capacity will be </w:t>
            </w:r>
            <w:r>
              <w:rPr>
                <w:rFonts w:ascii="Times New Roman" w:eastAsia="Times New Roman" w:hAnsi="Times New Roman" w:cs="Times New Roman"/>
                <w:color w:val="000000"/>
                <w:szCs w:val="20"/>
              </w:rPr>
              <w:t>addressed by PDP 1 “Monitoring of marine litter“, PDP 2 “Improved mapping and monitoring of the ecological status of marine and inland waters“ and PDP 3 “HAZ-IDENT“.</w:t>
            </w:r>
          </w:p>
        </w:tc>
      </w:tr>
      <w:tr w:rsidR="00A37E99">
        <w:trPr>
          <w:trHeight w:val="3915"/>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Problems related to programme development and implementation, with suggested solutions </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Overall risk of the Programme has decreased compared to the previous reporting period.</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There are some delays in achieving Programme indicators, some of the indicators will not be achieved PDP 7 (“Development of An Early Warning System on Nuclear Emergency </w:t>
            </w:r>
            <w:r>
              <w:rPr>
                <w:rFonts w:ascii="Times New Roman" w:eastAsia="Times New Roman" w:hAnsi="Times New Roman" w:cs="Times New Roman"/>
                <w:color w:val="000000"/>
                <w:szCs w:val="20"/>
              </w:rPr>
              <w:t xml:space="preserve">of Lithuania“) but by the end of the Programme majority of planned indicators shall be achieved as foreseen. </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It is planned to include the small grant scheme call (SGS) activities in the scope of the project PDP 6 (“ClimAdapt-LT”). </w:t>
            </w:r>
          </w:p>
          <w:p w:rsidR="00A37E99" w:rsidRDefault="00E74D2D">
            <w:pPr>
              <w:spacing w:before="240" w:after="240"/>
              <w:jc w:val="both"/>
              <w:rPr>
                <w:color w:val="000000"/>
              </w:rPr>
            </w:pPr>
            <w:r>
              <w:rPr>
                <w:rFonts w:ascii="Times New Roman" w:eastAsia="Times New Roman" w:hAnsi="Times New Roman" w:cs="Times New Roman"/>
                <w:color w:val="000000"/>
                <w:szCs w:val="20"/>
              </w:rPr>
              <w:t>In PDP 7 the project pr</w:t>
            </w:r>
            <w:r>
              <w:rPr>
                <w:rFonts w:ascii="Times New Roman" w:eastAsia="Times New Roman" w:hAnsi="Times New Roman" w:cs="Times New Roman"/>
                <w:color w:val="000000"/>
                <w:szCs w:val="20"/>
              </w:rPr>
              <w:t>omoter refuses the development of the single emergency information system, additional purchase of 130 sirens is being considered.</w:t>
            </w:r>
          </w:p>
          <w:p w:rsidR="00A37E99" w:rsidRDefault="00E74D2D">
            <w:pPr>
              <w:spacing w:before="240"/>
              <w:jc w:val="both"/>
              <w:rPr>
                <w:color w:val="000000"/>
              </w:rPr>
            </w:pPr>
            <w:r>
              <w:rPr>
                <w:rFonts w:ascii="Times New Roman" w:eastAsia="Times New Roman" w:hAnsi="Times New Roman" w:cs="Times New Roman"/>
                <w:color w:val="000000"/>
                <w:szCs w:val="20"/>
              </w:rPr>
              <w:t>The request for the amendments of PA will be sent to the FMO at the end of the I Q of 2023.</w:t>
            </w:r>
          </w:p>
        </w:tc>
      </w:tr>
      <w:tr w:rsidR="00A37E99">
        <w:trPr>
          <w:trHeight w:val="510"/>
          <w:tblCellSpacing w:w="15" w:type="dxa"/>
        </w:trPr>
        <w:tc>
          <w:tcPr>
            <w:tcW w:w="303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Progress in strengthening BR with Donor State entities, including the use of bilateral funds allocated to the programme: </w:t>
            </w:r>
          </w:p>
        </w:tc>
        <w:tc>
          <w:tcPr>
            <w:tcW w:w="71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 xml:space="preserve">Project promoters and partners from donor states are cooperating and communicating by e-mail and online meetings. </w:t>
            </w:r>
          </w:p>
          <w:p w:rsidR="00A37E99" w:rsidRDefault="00E74D2D">
            <w:pPr>
              <w:spacing w:before="240" w:after="240"/>
              <w:jc w:val="both"/>
              <w:rPr>
                <w:color w:val="000000"/>
              </w:rPr>
            </w:pPr>
            <w:r>
              <w:rPr>
                <w:rFonts w:ascii="Times New Roman" w:eastAsia="Times New Roman" w:hAnsi="Times New Roman" w:cs="Times New Roman"/>
                <w:color w:val="000000"/>
                <w:szCs w:val="20"/>
              </w:rPr>
              <w:t>Three bilateral ini</w:t>
            </w:r>
            <w:r>
              <w:rPr>
                <w:rFonts w:ascii="Times New Roman" w:eastAsia="Times New Roman" w:hAnsi="Times New Roman" w:cs="Times New Roman"/>
                <w:color w:val="000000"/>
                <w:szCs w:val="20"/>
              </w:rPr>
              <w:t xml:space="preserve">tiatives were implemented by the partners of the pre-defined projects: </w:t>
            </w:r>
          </w:p>
          <w:p w:rsidR="00A37E99" w:rsidRDefault="00E74D2D">
            <w:pPr>
              <w:spacing w:before="240" w:after="240"/>
              <w:jc w:val="both"/>
              <w:rPr>
                <w:color w:val="000000"/>
              </w:rPr>
            </w:pPr>
            <w:r>
              <w:rPr>
                <w:rFonts w:ascii="Times New Roman" w:eastAsia="Times New Roman" w:hAnsi="Times New Roman" w:cs="Times New Roman"/>
                <w:color w:val="000000"/>
                <w:szCs w:val="20"/>
              </w:rPr>
              <w:t>• PDP 7 “Development of an early warning system on nuclear emergency of Lithuania”. In June 2022 a meeting in Tromso was organized where the FRD, State Nuclear Power Safety Inspectorat</w:t>
            </w:r>
            <w:r>
              <w:rPr>
                <w:rFonts w:ascii="Times New Roman" w:eastAsia="Times New Roman" w:hAnsi="Times New Roman" w:cs="Times New Roman"/>
                <w:color w:val="000000"/>
                <w:szCs w:val="20"/>
              </w:rPr>
              <w:t>e (VATESI) meet the project partner - the Norwegian Radiation and Nuclear Safety Authority (DSA). The purpose of the meeting – to discuss civil protection exercise scenarios, preparation and evaluation strategy. Preliminary scenarios and activities have be</w:t>
            </w:r>
            <w:r>
              <w:rPr>
                <w:rFonts w:ascii="Times New Roman" w:eastAsia="Times New Roman" w:hAnsi="Times New Roman" w:cs="Times New Roman"/>
                <w:color w:val="000000"/>
                <w:szCs w:val="20"/>
              </w:rPr>
              <w:t>en agreed. In the meeting there were 18 participants (12 from Lithuania, 6 from Norway).</w:t>
            </w:r>
          </w:p>
          <w:p w:rsidR="00A37E99" w:rsidRDefault="00E74D2D">
            <w:pPr>
              <w:spacing w:before="240" w:after="240"/>
              <w:jc w:val="both"/>
              <w:rPr>
                <w:color w:val="000000"/>
              </w:rPr>
            </w:pPr>
            <w:r>
              <w:rPr>
                <w:rFonts w:ascii="Times New Roman" w:eastAsia="Times New Roman" w:hAnsi="Times New Roman" w:cs="Times New Roman"/>
                <w:color w:val="000000"/>
                <w:szCs w:val="20"/>
              </w:rPr>
              <w:t xml:space="preserve">• PDP 3 “HAZ-IDENT”. In October 2022 a meeting in Oslo was organized </w:t>
            </w:r>
            <w:r>
              <w:rPr>
                <w:rFonts w:ascii="Times New Roman" w:eastAsia="Times New Roman" w:hAnsi="Times New Roman" w:cs="Times New Roman"/>
                <w:color w:val="000000"/>
                <w:szCs w:val="20"/>
              </w:rPr>
              <w:lastRenderedPageBreak/>
              <w:t>where the representatives of Lithuanian environmental institutions (Ministry of Environment of the</w:t>
            </w:r>
            <w:r>
              <w:rPr>
                <w:rFonts w:ascii="Times New Roman" w:eastAsia="Times New Roman" w:hAnsi="Times New Roman" w:cs="Times New Roman"/>
                <w:color w:val="000000"/>
                <w:szCs w:val="20"/>
              </w:rPr>
              <w:t xml:space="preserve"> Republic of Lithuania; Environmental Protection Agency of Lithuania; Environmental Protection Department of Lithuania) met with the representatives of Norwegian institutions (Norwegian Ministry of Climate and Environment; Norwegian Environment Agency) and</w:t>
            </w:r>
            <w:r>
              <w:rPr>
                <w:rFonts w:ascii="Times New Roman" w:eastAsia="Times New Roman" w:hAnsi="Times New Roman" w:cs="Times New Roman"/>
                <w:color w:val="000000"/>
                <w:szCs w:val="20"/>
              </w:rPr>
              <w:t xml:space="preserve"> business enterprises (NOAH and “Revac AS”). The purpose of the meeting - to share good practices applied in Norway regarding the management of hazardous waste, identification and classification of hazardous waste, and control of waste handlers. In the mee</w:t>
            </w:r>
            <w:r>
              <w:rPr>
                <w:rFonts w:ascii="Times New Roman" w:eastAsia="Times New Roman" w:hAnsi="Times New Roman" w:cs="Times New Roman"/>
                <w:color w:val="000000"/>
                <w:szCs w:val="20"/>
              </w:rPr>
              <w:t>ting there were 24 participants (15 from Lithuania, 9 from Norway).</w:t>
            </w:r>
          </w:p>
          <w:p w:rsidR="00A37E99" w:rsidRDefault="00E74D2D">
            <w:pPr>
              <w:spacing w:before="240"/>
              <w:jc w:val="both"/>
              <w:rPr>
                <w:color w:val="000000"/>
              </w:rPr>
            </w:pPr>
            <w:r>
              <w:rPr>
                <w:rFonts w:ascii="Times New Roman" w:eastAsia="Times New Roman" w:hAnsi="Times New Roman" w:cs="Times New Roman"/>
                <w:color w:val="000000"/>
                <w:szCs w:val="20"/>
              </w:rPr>
              <w:t>• PDP 4 “Safety Enhancement of Ignalina NPP Radioactive Waste management”. In November 2022 the first project coordination meeting in Oslo was organized where the State Enterprise Ignalina</w:t>
            </w:r>
            <w:r>
              <w:rPr>
                <w:rFonts w:ascii="Times New Roman" w:eastAsia="Times New Roman" w:hAnsi="Times New Roman" w:cs="Times New Roman"/>
                <w:color w:val="000000"/>
                <w:szCs w:val="20"/>
              </w:rPr>
              <w:t xml:space="preserve"> Nuclear Power Plant (INPP) met the project partner – DSA. The purpose of the meeting – to assess the conditions for the implementation of the project until 15 April 2024. This includes the review of the agreements between the project partners, as well as </w:t>
            </w:r>
            <w:r>
              <w:rPr>
                <w:rFonts w:ascii="Times New Roman" w:eastAsia="Times New Roman" w:hAnsi="Times New Roman" w:cs="Times New Roman"/>
                <w:color w:val="000000"/>
                <w:szCs w:val="20"/>
              </w:rPr>
              <w:t>the review of the project implementation plan and project budget. In the meeting there were 5 participants (3 from Lithuania, 2 from Norway).</w:t>
            </w:r>
          </w:p>
        </w:tc>
      </w:tr>
    </w:tbl>
    <w:p w:rsidR="00A37E99" w:rsidRDefault="00E74D2D">
      <w:pPr>
        <w:spacing w:before="240" w:after="240"/>
      </w:pPr>
      <w:r>
        <w:lastRenderedPageBreak/>
        <w:t> </w:t>
      </w:r>
    </w:p>
    <w:p w:rsidR="00A37E99" w:rsidRDefault="00E74D2D">
      <w:pPr>
        <w:pStyle w:val="Antrat2"/>
        <w:spacing w:before="299" w:after="299"/>
        <w:rPr>
          <w:rFonts w:ascii="Calibri" w:eastAsia="Calibri" w:hAnsi="Calibri" w:cs="Calibri"/>
          <w:bCs/>
          <w:color w:val="2E74B5"/>
          <w:sz w:val="36"/>
          <w:szCs w:val="36"/>
        </w:rPr>
      </w:pPr>
      <w:bookmarkStart w:id="10" w:name="_Toc256000008"/>
      <w:r>
        <w:t>LT-RESEARCH Research</w:t>
      </w:r>
      <w:bookmarkEnd w:id="10"/>
    </w:p>
    <w:p w:rsidR="00A37E99" w:rsidRDefault="00E74D2D">
      <w:pPr>
        <w:spacing w:before="240" w:after="240"/>
      </w:pPr>
      <w:r>
        <w:t> </w:t>
      </w:r>
    </w:p>
    <w:tbl>
      <w:tblPr>
        <w:tblW w:w="10050"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902"/>
        <w:gridCol w:w="7148"/>
      </w:tblGrid>
      <w:tr w:rsidR="00A37E99">
        <w:trPr>
          <w:trHeight w:val="6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COMMON INFORMATION:</w:t>
            </w:r>
          </w:p>
        </w:tc>
      </w:tr>
      <w:tr w:rsidR="00A37E99">
        <w:trPr>
          <w:trHeight w:val="10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PO:</w:t>
            </w:r>
            <w:r>
              <w:rPr>
                <w:rFonts w:ascii="Times New Roman" w:eastAsia="Times New Roman" w:hAnsi="Times New Roman" w:cs="Times New Roman"/>
                <w:color w:val="000000"/>
                <w:szCs w:val="20"/>
              </w:rPr>
              <w:t xml:space="preserve">  The Research Council of Lithuania </w:t>
            </w:r>
            <w:r>
              <w:rPr>
                <w:rFonts w:ascii="Times New Roman" w:eastAsia="Times New Roman" w:hAnsi="Times New Roman" w:cs="Times New Roman"/>
                <w:color w:val="000000"/>
                <w:szCs w:val="20"/>
              </w:rPr>
              <w:t>(hereinafter – RCL)</w:t>
            </w:r>
          </w:p>
          <w:p w:rsidR="00A37E99" w:rsidRDefault="00E74D2D">
            <w:pPr>
              <w:spacing w:before="240" w:after="240"/>
              <w:rPr>
                <w:color w:val="000000"/>
              </w:rPr>
            </w:pPr>
            <w:r>
              <w:rPr>
                <w:rFonts w:ascii="Times New Roman" w:eastAsia="Times New Roman" w:hAnsi="Times New Roman" w:cs="Times New Roman"/>
                <w:b/>
                <w:bCs/>
                <w:color w:val="000000"/>
                <w:szCs w:val="20"/>
              </w:rPr>
              <w:t>DPP(s):</w:t>
            </w:r>
          </w:p>
          <w:p w:rsidR="00A37E99" w:rsidRDefault="00E74D2D">
            <w:pPr>
              <w:numPr>
                <w:ilvl w:val="0"/>
                <w:numId w:val="9"/>
              </w:numPr>
              <w:spacing w:before="240"/>
              <w:ind w:hanging="210"/>
              <w:rPr>
                <w:color w:val="000000"/>
              </w:rPr>
            </w:pPr>
            <w:r>
              <w:rPr>
                <w:rFonts w:ascii="Times New Roman" w:eastAsia="Times New Roman" w:hAnsi="Times New Roman" w:cs="Times New Roman"/>
                <w:color w:val="000000"/>
                <w:szCs w:val="20"/>
              </w:rPr>
              <w:t>The Norwegian Agency for International Cooperation and Quality Enhancement in Higher Education (DIKU)</w:t>
            </w:r>
          </w:p>
          <w:p w:rsidR="00A37E99" w:rsidRDefault="00E74D2D">
            <w:pPr>
              <w:numPr>
                <w:ilvl w:val="0"/>
                <w:numId w:val="9"/>
              </w:numPr>
              <w:ind w:hanging="210"/>
              <w:rPr>
                <w:color w:val="000000"/>
              </w:rPr>
            </w:pPr>
            <w:r>
              <w:rPr>
                <w:rFonts w:ascii="Times New Roman" w:eastAsia="Times New Roman" w:hAnsi="Times New Roman" w:cs="Times New Roman"/>
                <w:color w:val="000000"/>
                <w:szCs w:val="20"/>
              </w:rPr>
              <w:t>The National Agency for International Education Affairs (AIBA)</w:t>
            </w:r>
          </w:p>
          <w:p w:rsidR="00A37E99" w:rsidRDefault="00E74D2D">
            <w:pPr>
              <w:numPr>
                <w:ilvl w:val="0"/>
                <w:numId w:val="9"/>
              </w:numPr>
              <w:spacing w:after="240"/>
              <w:ind w:hanging="210"/>
              <w:rPr>
                <w:color w:val="000000"/>
              </w:rPr>
            </w:pPr>
            <w:r>
              <w:rPr>
                <w:rFonts w:ascii="Times New Roman" w:eastAsia="Times New Roman" w:hAnsi="Times New Roman" w:cs="Times New Roman"/>
                <w:color w:val="000000"/>
                <w:szCs w:val="20"/>
              </w:rPr>
              <w:t>The Research Council of Norway (RCN).</w:t>
            </w:r>
          </w:p>
          <w:p w:rsidR="00A37E99" w:rsidRDefault="00E74D2D">
            <w:pPr>
              <w:spacing w:before="240"/>
              <w:rPr>
                <w:color w:val="000000"/>
              </w:rPr>
            </w:pPr>
            <w:r>
              <w:rPr>
                <w:rFonts w:ascii="Times New Roman" w:eastAsia="Times New Roman" w:hAnsi="Times New Roman" w:cs="Times New Roman"/>
                <w:b/>
                <w:bCs/>
                <w:color w:val="000000"/>
                <w:szCs w:val="20"/>
              </w:rPr>
              <w:t>Other Programme Partner:</w:t>
            </w:r>
            <w:r>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The Ministry of Education, Science and Sport of the Republic of Lithuania </w:t>
            </w:r>
          </w:p>
        </w:tc>
      </w:tr>
      <w:tr w:rsidR="00A37E99">
        <w:trPr>
          <w:trHeight w:val="4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Total: EUR 10,757,000</w:t>
            </w:r>
          </w:p>
          <w:p w:rsidR="00A37E99" w:rsidRDefault="00E74D2D">
            <w:pPr>
              <w:spacing w:before="240" w:after="240"/>
              <w:rPr>
                <w:color w:val="000000"/>
              </w:rPr>
            </w:pPr>
            <w:r>
              <w:rPr>
                <w:rFonts w:ascii="Times New Roman" w:eastAsia="Times New Roman" w:hAnsi="Times New Roman" w:cs="Times New Roman"/>
                <w:color w:val="000000"/>
                <w:szCs w:val="20"/>
              </w:rPr>
              <w:t>EEA Grants: EUR 10,757,000</w:t>
            </w:r>
          </w:p>
          <w:p w:rsidR="00A37E99" w:rsidRDefault="00E74D2D">
            <w:pPr>
              <w:spacing w:before="240"/>
              <w:rPr>
                <w:color w:val="000000"/>
              </w:rPr>
            </w:pPr>
            <w:r>
              <w:rPr>
                <w:rFonts w:ascii="Times New Roman" w:eastAsia="Times New Roman" w:hAnsi="Times New Roman" w:cs="Times New Roman"/>
                <w:color w:val="000000"/>
                <w:szCs w:val="20"/>
              </w:rPr>
              <w:t>Norway Grants: EUR 0</w:t>
            </w:r>
          </w:p>
        </w:tc>
      </w:tr>
      <w:tr w:rsidR="00A37E99">
        <w:trPr>
          <w:trHeight w:val="6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STATUS OF THE PROGRAMME:</w:t>
            </w:r>
          </w:p>
        </w:tc>
      </w:tr>
      <w:tr w:rsidR="00A37E99">
        <w:trPr>
          <w:trHeight w:val="10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Overall progress – Programme </w:t>
            </w:r>
            <w:r>
              <w:rPr>
                <w:rFonts w:ascii="Times New Roman" w:eastAsia="Times New Roman" w:hAnsi="Times New Roman" w:cs="Times New Roman"/>
                <w:b/>
                <w:bCs/>
                <w:color w:val="000000"/>
                <w:szCs w:val="20"/>
              </w:rPr>
              <w:lastRenderedPageBreak/>
              <w:t xml:space="preserve">development and implementation </w:t>
            </w:r>
          </w:p>
          <w:p w:rsidR="00A37E99" w:rsidRDefault="00E74D2D">
            <w:pPr>
              <w:spacing w:before="240"/>
              <w:rPr>
                <w:color w:val="000000"/>
              </w:rPr>
            </w:pPr>
            <w:r>
              <w:rPr>
                <w:rFonts w:ascii="Calibri" w:eastAsia="Calibri" w:hAnsi="Calibri" w:cs="Calibri"/>
                <w:b/>
                <w:bCs/>
                <w:color w:val="000000"/>
                <w:sz w:val="22"/>
              </w:rPr>
              <w:t>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jc w:val="both"/>
              <w:rPr>
                <w:color w:val="000000"/>
              </w:rPr>
            </w:pPr>
            <w:r>
              <w:rPr>
                <w:rFonts w:ascii="Times New Roman" w:eastAsia="Times New Roman" w:hAnsi="Times New Roman" w:cs="Times New Roman"/>
                <w:color w:val="000000"/>
                <w:szCs w:val="20"/>
              </w:rPr>
              <w:lastRenderedPageBreak/>
              <w:t xml:space="preserve">In </w:t>
            </w:r>
            <w:r>
              <w:rPr>
                <w:rFonts w:ascii="Times New Roman" w:eastAsia="Times New Roman" w:hAnsi="Times New Roman" w:cs="Times New Roman"/>
                <w:color w:val="000000"/>
                <w:szCs w:val="20"/>
              </w:rPr>
              <w:t xml:space="preserve">January, 2022, RCL have completed the independent expert evaluation of 12 projects’ annual reports, which aim to check whether the projects are on </w:t>
            </w:r>
            <w:r>
              <w:rPr>
                <w:rFonts w:ascii="Times New Roman" w:eastAsia="Times New Roman" w:hAnsi="Times New Roman" w:cs="Times New Roman"/>
                <w:color w:val="000000"/>
                <w:szCs w:val="20"/>
              </w:rPr>
              <w:lastRenderedPageBreak/>
              <w:t>track to meeting their objectives and executing work planned for the reporting period, also, whether the expe</w:t>
            </w:r>
            <w:r>
              <w:rPr>
                <w:rFonts w:ascii="Times New Roman" w:eastAsia="Times New Roman" w:hAnsi="Times New Roman" w:cs="Times New Roman"/>
                <w:color w:val="000000"/>
                <w:szCs w:val="20"/>
              </w:rPr>
              <w:t>nditure for activities in the project fit initially planned. The independent experts approved all 12 annual reports.</w:t>
            </w:r>
          </w:p>
        </w:tc>
      </w:tr>
      <w:tr w:rsidR="00A37E99">
        <w:trPr>
          <w:trHeight w:val="10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lastRenderedPageBreak/>
              <w:t>How specific concerns in the MoU have been addressed:</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All the specific concerns stated in the MoU are relevant and now are at the implemen</w:t>
            </w:r>
            <w:r>
              <w:rPr>
                <w:rFonts w:ascii="Times New Roman" w:eastAsia="Times New Roman" w:hAnsi="Times New Roman" w:cs="Times New Roman"/>
                <w:b/>
                <w:bCs/>
                <w:color w:val="000000"/>
                <w:szCs w:val="20"/>
              </w:rPr>
              <w:t>tation stage.</w:t>
            </w:r>
          </w:p>
          <w:p w:rsidR="00A37E99" w:rsidRDefault="00E74D2D">
            <w:pPr>
              <w:spacing w:before="240" w:after="240"/>
              <w:jc w:val="both"/>
              <w:rPr>
                <w:color w:val="000000"/>
              </w:rPr>
            </w:pPr>
            <w:r>
              <w:rPr>
                <w:rFonts w:ascii="Times New Roman" w:eastAsia="Times New Roman" w:hAnsi="Times New Roman" w:cs="Times New Roman"/>
                <w:color w:val="000000"/>
                <w:szCs w:val="20"/>
              </w:rPr>
              <w:t>The programme has one main objective for research - Enhanced performance of Baltic research internationally.</w:t>
            </w:r>
          </w:p>
          <w:p w:rsidR="00A37E99" w:rsidRDefault="00E74D2D">
            <w:pPr>
              <w:spacing w:before="240" w:after="240"/>
              <w:jc w:val="both"/>
              <w:rPr>
                <w:color w:val="000000"/>
              </w:rPr>
            </w:pPr>
            <w:r>
              <w:rPr>
                <w:rFonts w:ascii="Times New Roman" w:eastAsia="Times New Roman" w:hAnsi="Times New Roman" w:cs="Times New Roman"/>
                <w:color w:val="000000"/>
                <w:szCs w:val="20"/>
              </w:rPr>
              <w:t>Apart of value added generated by cooperation and collaboration between Baltic and donor states at various levels, the programme base</w:t>
            </w:r>
            <w:r>
              <w:rPr>
                <w:rFonts w:ascii="Times New Roman" w:eastAsia="Times New Roman" w:hAnsi="Times New Roman" w:cs="Times New Roman"/>
                <w:color w:val="000000"/>
                <w:szCs w:val="20"/>
              </w:rPr>
              <w:t xml:space="preserve">d on a joint research response to common societal challenges increases the socio-economic impact of R&amp;D. </w:t>
            </w:r>
          </w:p>
          <w:p w:rsidR="00A37E99" w:rsidRDefault="00E74D2D">
            <w:pPr>
              <w:spacing w:before="240"/>
              <w:jc w:val="both"/>
              <w:rPr>
                <w:color w:val="000000"/>
              </w:rPr>
            </w:pPr>
            <w:r>
              <w:rPr>
                <w:rFonts w:ascii="Times New Roman" w:eastAsia="Times New Roman" w:hAnsi="Times New Roman" w:cs="Times New Roman"/>
                <w:color w:val="000000"/>
                <w:szCs w:val="20"/>
              </w:rPr>
              <w:t>The experts when evaluating projects’ annual reports also stressed important aspects disclosing essential features of the impact on dealing with the e</w:t>
            </w:r>
            <w:r>
              <w:rPr>
                <w:rFonts w:ascii="Times New Roman" w:eastAsia="Times New Roman" w:hAnsi="Times New Roman" w:cs="Times New Roman"/>
                <w:color w:val="000000"/>
                <w:szCs w:val="20"/>
              </w:rPr>
              <w:t>conomic and social sustainability issues by promoting new working places, reducing CO2 pollution, providing technological innovations internationally including Baltic and Nordic countries, generating new knowledge, providing opportunities for young researc</w:t>
            </w:r>
            <w:r>
              <w:rPr>
                <w:rFonts w:ascii="Times New Roman" w:eastAsia="Times New Roman" w:hAnsi="Times New Roman" w:cs="Times New Roman"/>
                <w:color w:val="000000"/>
                <w:szCs w:val="20"/>
              </w:rPr>
              <w:t>hers to participate in world class research.</w:t>
            </w:r>
          </w:p>
        </w:tc>
      </w:tr>
      <w:tr w:rsidR="00A37E99">
        <w:trPr>
          <w:trHeight w:val="7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Problems related to programme development and implementation, with suggested solutions </w:t>
            </w:r>
          </w:p>
          <w:p w:rsidR="00A37E99" w:rsidRDefault="00E74D2D">
            <w:pPr>
              <w:spacing w:before="240"/>
              <w:rPr>
                <w:color w:val="000000"/>
              </w:rPr>
            </w:pPr>
            <w:r>
              <w:rPr>
                <w:rFonts w:ascii="Calibri" w:eastAsia="Calibri" w:hAnsi="Calibri" w:cs="Calibri"/>
                <w:b/>
                <w:bCs/>
                <w:color w:val="000000"/>
                <w:sz w:val="22"/>
              </w:rPr>
              <w:t>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Overall risk of the Programme has not changed as compared to the previous reporting period.</w:t>
            </w:r>
          </w:p>
          <w:p w:rsidR="00A37E99" w:rsidRDefault="00E74D2D">
            <w:pPr>
              <w:spacing w:before="240"/>
              <w:jc w:val="both"/>
              <w:rPr>
                <w:color w:val="000000"/>
              </w:rPr>
            </w:pPr>
            <w:r>
              <w:rPr>
                <w:rFonts w:ascii="Times New Roman" w:eastAsia="Times New Roman" w:hAnsi="Times New Roman" w:cs="Times New Roman"/>
                <w:color w:val="000000"/>
                <w:szCs w:val="20"/>
              </w:rPr>
              <w:t xml:space="preserve">Indicators </w:t>
            </w:r>
            <w:r>
              <w:rPr>
                <w:rFonts w:ascii="Times New Roman" w:eastAsia="Times New Roman" w:hAnsi="Times New Roman" w:cs="Times New Roman"/>
                <w:i/>
                <w:iCs/>
                <w:color w:val="000000"/>
                <w:szCs w:val="20"/>
              </w:rPr>
              <w:t xml:space="preserve">Number of joint </w:t>
            </w:r>
            <w:r>
              <w:rPr>
                <w:rFonts w:ascii="Times New Roman" w:eastAsia="Times New Roman" w:hAnsi="Times New Roman" w:cs="Times New Roman"/>
                <w:i/>
                <w:iCs/>
                <w:color w:val="000000"/>
                <w:szCs w:val="20"/>
              </w:rPr>
              <w:t>applications for further funding</w:t>
            </w:r>
            <w:r>
              <w:rPr>
                <w:rFonts w:ascii="Times New Roman" w:eastAsia="Times New Roman" w:hAnsi="Times New Roman" w:cs="Times New Roman"/>
                <w:color w:val="000000"/>
                <w:szCs w:val="20"/>
              </w:rPr>
              <w:t xml:space="preserve"> and </w:t>
            </w:r>
            <w:r>
              <w:rPr>
                <w:rFonts w:ascii="Times New Roman" w:eastAsia="Times New Roman" w:hAnsi="Times New Roman" w:cs="Times New Roman"/>
                <w:i/>
                <w:iCs/>
                <w:color w:val="000000"/>
                <w:szCs w:val="20"/>
              </w:rPr>
              <w:t>Number of jointly registered applications for Intellectual Property Protection</w:t>
            </w:r>
            <w:r>
              <w:rPr>
                <w:rFonts w:ascii="Times New Roman" w:eastAsia="Times New Roman" w:hAnsi="Times New Roman" w:cs="Times New Roman"/>
                <w:color w:val="000000"/>
                <w:szCs w:val="20"/>
              </w:rPr>
              <w:t xml:space="preserve"> will not be achieved because of too ambitious targets settled for the indicators. For mitigation this problem RCL continue regularly and pre</w:t>
            </w:r>
            <w:r>
              <w:rPr>
                <w:rFonts w:ascii="Times New Roman" w:eastAsia="Times New Roman" w:hAnsi="Times New Roman" w:cs="Times New Roman"/>
                <w:color w:val="000000"/>
                <w:szCs w:val="20"/>
              </w:rPr>
              <w:t xml:space="preserve">cisely follow the implementation of the projects towards indicators’ targets have to be achieved. The project promoters will be informed and consulted on the indicators individually, distributing them advices by email and also in seminars organised on the </w:t>
            </w:r>
            <w:r>
              <w:rPr>
                <w:rFonts w:ascii="Times New Roman" w:eastAsia="Times New Roman" w:hAnsi="Times New Roman" w:cs="Times New Roman"/>
                <w:color w:val="000000"/>
                <w:szCs w:val="20"/>
              </w:rPr>
              <w:t xml:space="preserve">implementation aspects, including indicators. </w:t>
            </w:r>
          </w:p>
        </w:tc>
      </w:tr>
      <w:tr w:rsidR="00A37E99">
        <w:trPr>
          <w:trHeight w:val="255"/>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Progress in strengthening BR with Donor State entities, including the use of bilateral funds allocated to the programme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New bilateral fund initiative launched by programme operator in the middle of 2022 give</w:t>
            </w:r>
            <w:r>
              <w:rPr>
                <w:rFonts w:ascii="Times New Roman" w:eastAsia="Times New Roman" w:hAnsi="Times New Roman" w:cs="Times New Roman"/>
                <w:color w:val="000000"/>
                <w:szCs w:val="20"/>
              </w:rPr>
              <w:t>s an opportunity to strengthening existing or creating new relations between the Lithuanian research organisations and researchers and partners from donor countries. Those applicants which were not selected for funding under the Baltic Research Programme c</w:t>
            </w:r>
            <w:r>
              <w:rPr>
                <w:rFonts w:ascii="Times New Roman" w:eastAsia="Times New Roman" w:hAnsi="Times New Roman" w:cs="Times New Roman"/>
                <w:color w:val="000000"/>
                <w:szCs w:val="20"/>
              </w:rPr>
              <w:t>all in Lithuania in 2020 are given another opportunity to apply to this call. 11 applications have been submitted in total in 2022: 4 applications to Iceland and 7 to Norway. After administrative check, all of them were approved for funding. The applicants</w:t>
            </w:r>
            <w:r>
              <w:rPr>
                <w:rFonts w:ascii="Times New Roman" w:eastAsia="Times New Roman" w:hAnsi="Times New Roman" w:cs="Times New Roman"/>
                <w:color w:val="000000"/>
                <w:szCs w:val="20"/>
              </w:rPr>
              <w:t xml:space="preserve"> applied for the funds of almost € 16,000. This bilateral fund initiative can be continued till 31/03/2024.</w:t>
            </w:r>
          </w:p>
          <w:p w:rsidR="00A37E99" w:rsidRDefault="00E74D2D">
            <w:pPr>
              <w:spacing w:before="240"/>
              <w:jc w:val="both"/>
              <w:rPr>
                <w:color w:val="000000"/>
              </w:rPr>
            </w:pPr>
            <w:r>
              <w:rPr>
                <w:rFonts w:ascii="Times New Roman" w:eastAsia="Times New Roman" w:hAnsi="Times New Roman" w:cs="Times New Roman"/>
                <w:color w:val="000000"/>
                <w:szCs w:val="20"/>
              </w:rPr>
              <w:t>On 26-27 September, 2022, in the frame of the Programme Committee meeting in Vilnius, the PC members and observers participated in site visits of al</w:t>
            </w:r>
            <w:r>
              <w:rPr>
                <w:rFonts w:ascii="Times New Roman" w:eastAsia="Times New Roman" w:hAnsi="Times New Roman" w:cs="Times New Roman"/>
                <w:color w:val="000000"/>
                <w:szCs w:val="20"/>
              </w:rPr>
              <w:t>l 12 projects implemented in Vilnius, Kaunas and Kaunas region. Based on the information provided in presentations and complemented orally by the presenters, each PC member has estimated their observations on each joint project effectiveness and implementa</w:t>
            </w:r>
            <w:r>
              <w:rPr>
                <w:rFonts w:ascii="Times New Roman" w:eastAsia="Times New Roman" w:hAnsi="Times New Roman" w:cs="Times New Roman"/>
                <w:color w:val="000000"/>
                <w:szCs w:val="20"/>
              </w:rPr>
              <w:t>tion by fulfilling a special form with their grades.</w:t>
            </w:r>
          </w:p>
        </w:tc>
      </w:tr>
    </w:tbl>
    <w:p w:rsidR="00A37E99" w:rsidRDefault="00E74D2D">
      <w:pPr>
        <w:spacing w:before="240" w:after="240"/>
      </w:pPr>
      <w:r>
        <w:lastRenderedPageBreak/>
        <w:t> </w:t>
      </w:r>
    </w:p>
    <w:p w:rsidR="00A37E99" w:rsidRDefault="00E74D2D">
      <w:pPr>
        <w:pStyle w:val="Antrat2"/>
        <w:spacing w:before="299" w:after="299"/>
        <w:rPr>
          <w:rFonts w:ascii="Calibri" w:eastAsia="Calibri" w:hAnsi="Calibri" w:cs="Calibri"/>
          <w:bCs/>
          <w:color w:val="2E74B5"/>
          <w:sz w:val="36"/>
          <w:szCs w:val="36"/>
        </w:rPr>
      </w:pPr>
      <w:bookmarkStart w:id="11" w:name="_Toc256000009"/>
      <w:r>
        <w:t>LT-HEALTH Health</w:t>
      </w:r>
      <w:bookmarkEnd w:id="11"/>
    </w:p>
    <w:p w:rsidR="00A37E99" w:rsidRDefault="00E74D2D">
      <w:pPr>
        <w:spacing w:before="240" w:after="240"/>
      </w:pPr>
      <w:r>
        <w:t> </w:t>
      </w:r>
    </w:p>
    <w:tbl>
      <w:tblPr>
        <w:tblW w:w="10050"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901"/>
        <w:gridCol w:w="7149"/>
      </w:tblGrid>
      <w:tr w:rsidR="00A37E99">
        <w:trPr>
          <w:trHeight w:val="195"/>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COMMON INFORMATION:</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PO: </w:t>
            </w:r>
            <w:r>
              <w:rPr>
                <w:rFonts w:ascii="Times New Roman" w:eastAsia="Times New Roman" w:hAnsi="Times New Roman" w:cs="Times New Roman"/>
                <w:color w:val="000000"/>
                <w:szCs w:val="20"/>
              </w:rPr>
              <w:t>CPMA.</w:t>
            </w:r>
          </w:p>
          <w:p w:rsidR="00A37E99" w:rsidRDefault="00E74D2D">
            <w:pPr>
              <w:spacing w:before="240" w:after="240"/>
              <w:rPr>
                <w:color w:val="000000"/>
              </w:rPr>
            </w:pPr>
            <w:r>
              <w:rPr>
                <w:rFonts w:ascii="Times New Roman" w:eastAsia="Times New Roman" w:hAnsi="Times New Roman" w:cs="Times New Roman"/>
                <w:b/>
                <w:bCs/>
                <w:color w:val="000000"/>
                <w:szCs w:val="20"/>
              </w:rPr>
              <w:t xml:space="preserve">DDP(s): </w:t>
            </w:r>
            <w:r>
              <w:rPr>
                <w:rFonts w:ascii="Times New Roman" w:eastAsia="Times New Roman" w:hAnsi="Times New Roman" w:cs="Times New Roman"/>
                <w:color w:val="000000"/>
                <w:szCs w:val="20"/>
              </w:rPr>
              <w:t>The Norwegian Institute of Public Health</w:t>
            </w:r>
          </w:p>
          <w:p w:rsidR="00A37E99" w:rsidRDefault="00E74D2D">
            <w:pPr>
              <w:spacing w:before="240" w:after="240"/>
              <w:rPr>
                <w:color w:val="000000"/>
              </w:rPr>
            </w:pPr>
            <w:r>
              <w:rPr>
                <w:rFonts w:ascii="Times New Roman" w:eastAsia="Times New Roman" w:hAnsi="Times New Roman" w:cs="Times New Roman"/>
                <w:b/>
                <w:bCs/>
                <w:color w:val="000000"/>
                <w:szCs w:val="20"/>
              </w:rPr>
              <w:t>Other Programme Partners:</w:t>
            </w:r>
            <w:r>
              <w:rPr>
                <w:rFonts w:ascii="Calibri" w:eastAsia="Calibri" w:hAnsi="Calibri" w:cs="Calibri"/>
                <w:color w:val="000000"/>
                <w:sz w:val="22"/>
              </w:rPr>
              <w:t xml:space="preserve"> </w:t>
            </w:r>
          </w:p>
          <w:p w:rsidR="00A37E99" w:rsidRDefault="00E74D2D">
            <w:pPr>
              <w:spacing w:before="240" w:after="240"/>
              <w:rPr>
                <w:color w:val="000000"/>
              </w:rPr>
            </w:pPr>
            <w:r>
              <w:rPr>
                <w:rFonts w:ascii="Times New Roman" w:eastAsia="Times New Roman" w:hAnsi="Times New Roman" w:cs="Times New Roman"/>
                <w:color w:val="000000"/>
                <w:szCs w:val="20"/>
              </w:rPr>
              <w:t xml:space="preserve">The Ministry of Health of the Republic of Lithuania; </w:t>
            </w:r>
          </w:p>
          <w:p w:rsidR="00A37E99" w:rsidRDefault="00E74D2D">
            <w:pPr>
              <w:spacing w:before="240"/>
              <w:rPr>
                <w:color w:val="000000"/>
              </w:rPr>
            </w:pPr>
            <w:r>
              <w:rPr>
                <w:rFonts w:ascii="Times New Roman" w:eastAsia="Times New Roman" w:hAnsi="Times New Roman" w:cs="Times New Roman"/>
                <w:color w:val="000000"/>
                <w:szCs w:val="20"/>
              </w:rPr>
              <w:t>The Ministry of Social Security and Labour of the Republic of Lithuania</w:t>
            </w:r>
          </w:p>
        </w:tc>
      </w:tr>
      <w:tr w:rsidR="00A37E99">
        <w:trPr>
          <w:trHeight w:val="24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Total: EUR 15,264,000</w:t>
            </w:r>
          </w:p>
          <w:p w:rsidR="00A37E99" w:rsidRDefault="00E74D2D">
            <w:pPr>
              <w:spacing w:before="240" w:after="240"/>
              <w:rPr>
                <w:color w:val="000000"/>
              </w:rPr>
            </w:pPr>
            <w:r>
              <w:rPr>
                <w:rFonts w:ascii="Times New Roman" w:eastAsia="Times New Roman" w:hAnsi="Times New Roman" w:cs="Times New Roman"/>
                <w:color w:val="000000"/>
                <w:szCs w:val="20"/>
              </w:rPr>
              <w:t>EEA Grants: EUR 15,264,000</w:t>
            </w:r>
          </w:p>
          <w:p w:rsidR="00A37E99" w:rsidRDefault="00E74D2D">
            <w:pPr>
              <w:spacing w:before="240"/>
              <w:rPr>
                <w:color w:val="000000"/>
              </w:rPr>
            </w:pPr>
            <w:r>
              <w:rPr>
                <w:rFonts w:ascii="Times New Roman" w:eastAsia="Times New Roman" w:hAnsi="Times New Roman" w:cs="Times New Roman"/>
                <w:color w:val="000000"/>
                <w:szCs w:val="20"/>
              </w:rPr>
              <w:t>Norway Grants: EUR 0</w:t>
            </w:r>
          </w:p>
        </w:tc>
      </w:tr>
      <w:tr w:rsidR="00A37E99">
        <w:trPr>
          <w:trHeight w:val="24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STATUS OF THE PROGRAMME:</w:t>
            </w:r>
          </w:p>
        </w:tc>
      </w:tr>
      <w:tr w:rsidR="00A37E99">
        <w:trPr>
          <w:trHeight w:val="24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Overall progress – Programme development and implementation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 xml:space="preserve">Signature of the Programme agreement: </w:t>
            </w:r>
            <w:r>
              <w:rPr>
                <w:rFonts w:ascii="Times New Roman" w:eastAsia="Times New Roman" w:hAnsi="Times New Roman" w:cs="Times New Roman"/>
                <w:color w:val="000000"/>
                <w:szCs w:val="20"/>
              </w:rPr>
              <w:t>3</w:t>
            </w:r>
            <w:r>
              <w:rPr>
                <w:rFonts w:ascii="Times New Roman" w:eastAsia="Times New Roman" w:hAnsi="Times New Roman" w:cs="Times New Roman"/>
                <w:b/>
                <w:bCs/>
                <w:color w:val="000000"/>
                <w:szCs w:val="20"/>
              </w:rPr>
              <w:t xml:space="preserve"> </w:t>
            </w:r>
            <w:r>
              <w:rPr>
                <w:rFonts w:ascii="Times New Roman" w:eastAsia="Times New Roman" w:hAnsi="Times New Roman" w:cs="Times New Roman"/>
                <w:color w:val="000000"/>
                <w:szCs w:val="20"/>
              </w:rPr>
              <w:t>September  2019</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PDP assessment:</w:t>
            </w:r>
            <w:r>
              <w:rPr>
                <w:rFonts w:ascii="Times New Roman" w:eastAsia="Times New Roman" w:hAnsi="Times New Roman" w:cs="Times New Roman"/>
                <w:color w:val="000000"/>
                <w:szCs w:val="20"/>
              </w:rPr>
              <w:t xml:space="preserve"> all 5 contracts of PDPs were signed in early 2020. All PDPs are under implementation or in the last implementation stage. </w:t>
            </w:r>
          </w:p>
          <w:p w:rsidR="00A37E99" w:rsidRDefault="00E74D2D">
            <w:pPr>
              <w:spacing w:before="240"/>
              <w:jc w:val="both"/>
              <w:rPr>
                <w:color w:val="000000"/>
              </w:rPr>
            </w:pPr>
            <w:r>
              <w:rPr>
                <w:rFonts w:ascii="Times New Roman" w:eastAsia="Times New Roman" w:hAnsi="Times New Roman" w:cs="Times New Roman"/>
                <w:b/>
                <w:bCs/>
                <w:color w:val="000000"/>
                <w:szCs w:val="20"/>
              </w:rPr>
              <w:t>Calls for proposals:</w:t>
            </w:r>
            <w:r>
              <w:rPr>
                <w:rFonts w:ascii="Times New Roman" w:eastAsia="Times New Roman" w:hAnsi="Times New Roman" w:cs="Times New Roman"/>
                <w:color w:val="000000"/>
                <w:szCs w:val="20"/>
              </w:rPr>
              <w:t xml:space="preserve"> all calls have been fully completed, all projects were contracted. In total, 64 projects are under implementation. </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How specific concerns in the MoU have been addressed:</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All specific concerns in the MoU were addressed in the Programme</w:t>
            </w:r>
            <w:r>
              <w:rPr>
                <w:rFonts w:ascii="Times New Roman" w:eastAsia="Times New Roman" w:hAnsi="Times New Roman" w:cs="Times New Roman"/>
                <w:b/>
                <w:bCs/>
                <w:color w:val="000000"/>
                <w:szCs w:val="20"/>
              </w:rPr>
              <w:t xml:space="preserve"> agreement. All projects with activities focused on children and youth mental health are already under implementation.</w:t>
            </w:r>
          </w:p>
          <w:p w:rsidR="00A37E99" w:rsidRDefault="00E74D2D">
            <w:pPr>
              <w:spacing w:before="240" w:after="240"/>
              <w:jc w:val="both"/>
              <w:rPr>
                <w:color w:val="000000"/>
              </w:rPr>
            </w:pPr>
            <w:r>
              <w:rPr>
                <w:rFonts w:ascii="Times New Roman" w:eastAsia="Times New Roman" w:hAnsi="Times New Roman" w:cs="Times New Roman"/>
                <w:color w:val="000000"/>
                <w:szCs w:val="20"/>
              </w:rPr>
              <w:t>The Programme provides support for mental health promotion and prevention measures with particular emphasis on the well-being of children</w:t>
            </w:r>
            <w:r>
              <w:rPr>
                <w:rFonts w:ascii="Times New Roman" w:eastAsia="Times New Roman" w:hAnsi="Times New Roman" w:cs="Times New Roman"/>
                <w:color w:val="000000"/>
                <w:szCs w:val="20"/>
              </w:rPr>
              <w:t xml:space="preserve"> and youth as well as their families by promoting:</w:t>
            </w:r>
          </w:p>
          <w:p w:rsidR="00A37E99" w:rsidRDefault="00E74D2D">
            <w:pPr>
              <w:numPr>
                <w:ilvl w:val="0"/>
                <w:numId w:val="10"/>
              </w:numPr>
              <w:spacing w:before="240"/>
              <w:ind w:hanging="210"/>
              <w:jc w:val="both"/>
              <w:rPr>
                <w:color w:val="000000"/>
              </w:rPr>
            </w:pPr>
            <w:r>
              <w:rPr>
                <w:rFonts w:ascii="Times New Roman" w:eastAsia="Times New Roman" w:hAnsi="Times New Roman" w:cs="Times New Roman"/>
                <w:color w:val="000000"/>
                <w:szCs w:val="20"/>
              </w:rPr>
              <w:t>evidence-based activities by targeting and correcting children and youth behaviour problems;</w:t>
            </w:r>
          </w:p>
          <w:p w:rsidR="00A37E99" w:rsidRDefault="00E74D2D">
            <w:pPr>
              <w:numPr>
                <w:ilvl w:val="0"/>
                <w:numId w:val="10"/>
              </w:numPr>
              <w:ind w:hanging="210"/>
              <w:jc w:val="both"/>
              <w:rPr>
                <w:color w:val="000000"/>
              </w:rPr>
            </w:pPr>
            <w:r>
              <w:rPr>
                <w:rFonts w:ascii="Times New Roman" w:eastAsia="Times New Roman" w:hAnsi="Times New Roman" w:cs="Times New Roman"/>
                <w:color w:val="000000"/>
                <w:szCs w:val="20"/>
              </w:rPr>
              <w:t>consulting services for people experiencing emotional difficulties;</w:t>
            </w:r>
          </w:p>
          <w:p w:rsidR="00A37E99" w:rsidRDefault="00E74D2D">
            <w:pPr>
              <w:numPr>
                <w:ilvl w:val="0"/>
                <w:numId w:val="10"/>
              </w:numPr>
              <w:ind w:hanging="210"/>
              <w:jc w:val="both"/>
              <w:rPr>
                <w:color w:val="000000"/>
              </w:rPr>
            </w:pPr>
            <w:r>
              <w:rPr>
                <w:rFonts w:ascii="Times New Roman" w:eastAsia="Times New Roman" w:hAnsi="Times New Roman" w:cs="Times New Roman"/>
                <w:color w:val="000000"/>
                <w:szCs w:val="20"/>
              </w:rPr>
              <w:t>home visitation early intervention model;</w:t>
            </w:r>
          </w:p>
          <w:p w:rsidR="00A37E99" w:rsidRDefault="00E74D2D">
            <w:pPr>
              <w:numPr>
                <w:ilvl w:val="0"/>
                <w:numId w:val="10"/>
              </w:numPr>
              <w:ind w:hanging="210"/>
              <w:jc w:val="both"/>
              <w:rPr>
                <w:color w:val="000000"/>
              </w:rPr>
            </w:pPr>
            <w:r>
              <w:rPr>
                <w:rFonts w:ascii="Times New Roman" w:eastAsia="Times New Roman" w:hAnsi="Times New Roman" w:cs="Times New Roman"/>
                <w:color w:val="000000"/>
                <w:szCs w:val="20"/>
              </w:rPr>
              <w:t>youth-friendly health care services;</w:t>
            </w:r>
          </w:p>
          <w:p w:rsidR="00A37E99" w:rsidRDefault="00E74D2D">
            <w:pPr>
              <w:numPr>
                <w:ilvl w:val="0"/>
                <w:numId w:val="10"/>
              </w:numPr>
              <w:ind w:hanging="210"/>
              <w:jc w:val="both"/>
              <w:rPr>
                <w:color w:val="000000"/>
              </w:rPr>
            </w:pPr>
            <w:r>
              <w:rPr>
                <w:rFonts w:ascii="Times New Roman" w:eastAsia="Times New Roman" w:hAnsi="Times New Roman" w:cs="Times New Roman"/>
                <w:color w:val="000000"/>
                <w:szCs w:val="20"/>
              </w:rPr>
              <w:t>multi-dimensional family therapy;</w:t>
            </w:r>
          </w:p>
          <w:p w:rsidR="00A37E99" w:rsidRDefault="00E74D2D">
            <w:pPr>
              <w:numPr>
                <w:ilvl w:val="0"/>
                <w:numId w:val="10"/>
              </w:numPr>
              <w:spacing w:after="240"/>
              <w:ind w:hanging="210"/>
              <w:jc w:val="both"/>
              <w:rPr>
                <w:color w:val="000000"/>
              </w:rPr>
            </w:pPr>
            <w:r>
              <w:rPr>
                <w:rFonts w:ascii="Times New Roman" w:eastAsia="Times New Roman" w:hAnsi="Times New Roman" w:cs="Times New Roman"/>
                <w:color w:val="000000"/>
                <w:szCs w:val="20"/>
              </w:rPr>
              <w:t>other.</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lastRenderedPageBreak/>
              <w:t xml:space="preserve">Problems related to programme development and implementation, with suggested solutions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Overall risk of the Programme has not changed as compared to the previous reporting perio</w:t>
            </w:r>
            <w:r>
              <w:rPr>
                <w:rFonts w:ascii="Times New Roman" w:eastAsia="Times New Roman" w:hAnsi="Times New Roman" w:cs="Times New Roman"/>
                <w:color w:val="000000"/>
                <w:szCs w:val="20"/>
              </w:rPr>
              <w:t>d.</w:t>
            </w:r>
          </w:p>
          <w:p w:rsidR="00A37E99" w:rsidRDefault="00E74D2D">
            <w:pPr>
              <w:spacing w:before="240" w:after="240"/>
              <w:jc w:val="both"/>
              <w:rPr>
                <w:color w:val="000000"/>
              </w:rPr>
            </w:pPr>
            <w:r>
              <w:rPr>
                <w:rFonts w:ascii="Times New Roman" w:eastAsia="Times New Roman" w:hAnsi="Times New Roman" w:cs="Times New Roman"/>
                <w:color w:val="000000"/>
                <w:szCs w:val="20"/>
              </w:rPr>
              <w:t>There are some delays in achieving Programme’s indicators but project promoters put great effort aiming that by the end of the Programme all planned indicators shall be achieved as foreseen. Some projects have been extended in order to fully achieve all pr</w:t>
            </w:r>
            <w:r>
              <w:rPr>
                <w:rFonts w:ascii="Times New Roman" w:eastAsia="Times New Roman" w:hAnsi="Times New Roman" w:cs="Times New Roman"/>
                <w:color w:val="000000"/>
                <w:szCs w:val="20"/>
              </w:rPr>
              <w:t xml:space="preserve">oject outputs and indicators. </w:t>
            </w:r>
          </w:p>
          <w:p w:rsidR="00A37E99" w:rsidRDefault="00E74D2D">
            <w:pPr>
              <w:spacing w:before="240" w:after="240"/>
              <w:jc w:val="both"/>
              <w:rPr>
                <w:color w:val="000000"/>
              </w:rPr>
            </w:pPr>
            <w:r>
              <w:rPr>
                <w:rFonts w:ascii="Times New Roman" w:eastAsia="Times New Roman" w:hAnsi="Times New Roman" w:cs="Times New Roman"/>
                <w:color w:val="000000"/>
                <w:szCs w:val="20"/>
              </w:rPr>
              <w:t>Due to Covid-19 and restrictions on meetings, activities that required contact meetings started more intensively only in 2022.</w:t>
            </w:r>
          </w:p>
          <w:p w:rsidR="00A37E99" w:rsidRDefault="00E74D2D">
            <w:pPr>
              <w:spacing w:before="240"/>
              <w:jc w:val="both"/>
              <w:rPr>
                <w:color w:val="000000"/>
              </w:rPr>
            </w:pPr>
            <w:r>
              <w:rPr>
                <w:rFonts w:ascii="Times New Roman" w:eastAsia="Times New Roman" w:hAnsi="Times New Roman" w:cs="Times New Roman"/>
                <w:color w:val="000000"/>
                <w:szCs w:val="20"/>
              </w:rPr>
              <w:t>In 2022, amendment to the Programme agreement was initiated and finalized in order to reallocate f</w:t>
            </w:r>
            <w:r>
              <w:rPr>
                <w:rFonts w:ascii="Times New Roman" w:eastAsia="Times New Roman" w:hAnsi="Times New Roman" w:cs="Times New Roman"/>
                <w:color w:val="000000"/>
                <w:szCs w:val="20"/>
              </w:rPr>
              <w:t>unds of the Programme between measures to finance new projects or additional activities of the projects which are already under implementation.</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Progress in strengthening BR with donor state entities, including the use of bilateral funds allocated to the p</w:t>
            </w:r>
            <w:r>
              <w:rPr>
                <w:rFonts w:ascii="Times New Roman" w:eastAsia="Times New Roman" w:hAnsi="Times New Roman" w:cs="Times New Roman"/>
                <w:b/>
                <w:bCs/>
                <w:color w:val="000000"/>
                <w:szCs w:val="20"/>
              </w:rPr>
              <w:t xml:space="preserve">rogramme </w:t>
            </w:r>
          </w:p>
        </w:tc>
        <w:tc>
          <w:tcPr>
            <w:tcW w:w="727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There were several important visits and meetings organized in the reporting period that strengthened bilateral relations on both Programme and project levels:</w:t>
            </w:r>
          </w:p>
          <w:p w:rsidR="00A37E99" w:rsidRDefault="00E74D2D">
            <w:pPr>
              <w:numPr>
                <w:ilvl w:val="0"/>
                <w:numId w:val="11"/>
              </w:numPr>
              <w:spacing w:before="240"/>
              <w:ind w:hanging="210"/>
              <w:jc w:val="both"/>
              <w:rPr>
                <w:color w:val="000000"/>
              </w:rPr>
            </w:pPr>
            <w:r>
              <w:rPr>
                <w:rFonts w:ascii="Times New Roman" w:eastAsia="Times New Roman" w:hAnsi="Times New Roman" w:cs="Times New Roman"/>
                <w:color w:val="000000"/>
                <w:szCs w:val="20"/>
              </w:rPr>
              <w:t>Study visit in Norway on the improvement and implementation of long-term care in Lithua</w:t>
            </w:r>
            <w:r>
              <w:rPr>
                <w:rFonts w:ascii="Times New Roman" w:eastAsia="Times New Roman" w:hAnsi="Times New Roman" w:cs="Times New Roman"/>
                <w:color w:val="000000"/>
                <w:szCs w:val="20"/>
              </w:rPr>
              <w:t>nia;</w:t>
            </w:r>
          </w:p>
          <w:p w:rsidR="00A37E99" w:rsidRDefault="00E74D2D">
            <w:pPr>
              <w:numPr>
                <w:ilvl w:val="0"/>
                <w:numId w:val="11"/>
              </w:numPr>
              <w:ind w:hanging="210"/>
              <w:jc w:val="both"/>
              <w:rPr>
                <w:color w:val="000000"/>
              </w:rPr>
            </w:pPr>
            <w:r>
              <w:rPr>
                <w:rFonts w:ascii="Times New Roman" w:eastAsia="Times New Roman" w:hAnsi="Times New Roman" w:cs="Times New Roman"/>
                <w:color w:val="000000"/>
                <w:szCs w:val="20"/>
              </w:rPr>
              <w:t>2 international visits to Norway and Netherlands and 1 remote international conference took place in the pre-defined project “Multidimensional Approach to Children and Youth Behavioural Problems through Implementation of the MDFT Programme”;</w:t>
            </w:r>
          </w:p>
          <w:p w:rsidR="00A37E99" w:rsidRDefault="00E74D2D">
            <w:pPr>
              <w:numPr>
                <w:ilvl w:val="0"/>
                <w:numId w:val="11"/>
              </w:numPr>
              <w:spacing w:after="240"/>
              <w:ind w:hanging="210"/>
              <w:jc w:val="both"/>
              <w:rPr>
                <w:color w:val="000000"/>
              </w:rPr>
            </w:pPr>
            <w:r>
              <w:rPr>
                <w:rFonts w:ascii="Times New Roman" w:eastAsia="Times New Roman" w:hAnsi="Times New Roman" w:cs="Times New Roman"/>
                <w:color w:val="000000"/>
                <w:szCs w:val="20"/>
              </w:rPr>
              <w:t xml:space="preserve">1 </w:t>
            </w:r>
            <w:r>
              <w:rPr>
                <w:rFonts w:ascii="Times New Roman" w:eastAsia="Times New Roman" w:hAnsi="Times New Roman" w:cs="Times New Roman"/>
                <w:color w:val="000000"/>
                <w:szCs w:val="20"/>
              </w:rPr>
              <w:t>experience exchange (new “Headspace” model training) with donor partners from Island was performed in Lithuania in the project “Valley of Joy "Implementation of the model for improving the mental and emotional health of children and youth").</w:t>
            </w:r>
          </w:p>
        </w:tc>
      </w:tr>
    </w:tbl>
    <w:p w:rsidR="00A37E99" w:rsidRDefault="00E74D2D">
      <w:pPr>
        <w:spacing w:before="240" w:after="240"/>
      </w:pPr>
      <w:r>
        <w:t> </w:t>
      </w:r>
    </w:p>
    <w:p w:rsidR="00A37E99" w:rsidRDefault="00E74D2D">
      <w:pPr>
        <w:pStyle w:val="Antrat2"/>
        <w:spacing w:before="299" w:after="299"/>
        <w:rPr>
          <w:rFonts w:ascii="Calibri" w:eastAsia="Calibri" w:hAnsi="Calibri" w:cs="Calibri"/>
          <w:bCs/>
          <w:color w:val="2E74B5"/>
          <w:sz w:val="36"/>
          <w:szCs w:val="36"/>
        </w:rPr>
      </w:pPr>
      <w:bookmarkStart w:id="12" w:name="_Toc256000010"/>
      <w:r>
        <w:t xml:space="preserve">LT-CULTURE </w:t>
      </w:r>
      <w:r>
        <w:t>Culture</w:t>
      </w:r>
      <w:bookmarkEnd w:id="12"/>
    </w:p>
    <w:p w:rsidR="00A37E99" w:rsidRDefault="00E74D2D">
      <w:pPr>
        <w:spacing w:before="240" w:after="240"/>
      </w:pPr>
      <w:r>
        <w:t> </w:t>
      </w:r>
    </w:p>
    <w:tbl>
      <w:tblPr>
        <w:tblW w:w="10050"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900"/>
        <w:gridCol w:w="7150"/>
      </w:tblGrid>
      <w:tr w:rsidR="00A37E99">
        <w:trPr>
          <w:trHeight w:val="285"/>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COMMON INFORMATION:</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Responsible institutions:</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PO: </w:t>
            </w:r>
            <w:r>
              <w:rPr>
                <w:rFonts w:ascii="Times New Roman" w:eastAsia="Times New Roman" w:hAnsi="Times New Roman" w:cs="Times New Roman"/>
                <w:color w:val="000000"/>
                <w:szCs w:val="20"/>
              </w:rPr>
              <w:t>CPMA.</w:t>
            </w:r>
          </w:p>
          <w:p w:rsidR="00A37E99" w:rsidRDefault="00E74D2D">
            <w:pPr>
              <w:spacing w:before="240" w:after="240"/>
              <w:rPr>
                <w:color w:val="000000"/>
              </w:rPr>
            </w:pPr>
            <w:r>
              <w:rPr>
                <w:rFonts w:ascii="Times New Roman" w:eastAsia="Times New Roman" w:hAnsi="Times New Roman" w:cs="Times New Roman"/>
                <w:b/>
                <w:bCs/>
                <w:color w:val="000000"/>
                <w:szCs w:val="20"/>
              </w:rPr>
              <w:t xml:space="preserve">DPP(s): </w:t>
            </w:r>
            <w:r>
              <w:rPr>
                <w:rFonts w:ascii="Times New Roman" w:eastAsia="Times New Roman" w:hAnsi="Times New Roman" w:cs="Times New Roman"/>
                <w:color w:val="000000"/>
                <w:szCs w:val="20"/>
              </w:rPr>
              <w:t xml:space="preserve">The Norwegian Directorate for Cultural Heritage, </w:t>
            </w:r>
          </w:p>
          <w:p w:rsidR="00A37E99" w:rsidRDefault="00E74D2D">
            <w:pPr>
              <w:spacing w:before="240" w:after="240"/>
              <w:rPr>
                <w:color w:val="000000"/>
              </w:rPr>
            </w:pPr>
            <w:r>
              <w:rPr>
                <w:rFonts w:ascii="Times New Roman" w:eastAsia="Times New Roman" w:hAnsi="Times New Roman" w:cs="Times New Roman"/>
                <w:color w:val="000000"/>
                <w:szCs w:val="20"/>
              </w:rPr>
              <w:t>Arts and Culture Norway</w:t>
            </w:r>
          </w:p>
          <w:p w:rsidR="00A37E99" w:rsidRDefault="00E74D2D">
            <w:pPr>
              <w:spacing w:before="240" w:after="240"/>
              <w:rPr>
                <w:color w:val="000000"/>
              </w:rPr>
            </w:pPr>
            <w:r>
              <w:rPr>
                <w:rFonts w:ascii="Times New Roman" w:eastAsia="Times New Roman" w:hAnsi="Times New Roman" w:cs="Times New Roman"/>
                <w:b/>
                <w:bCs/>
                <w:color w:val="000000"/>
                <w:szCs w:val="20"/>
              </w:rPr>
              <w:t>Other Programme Partner(s):</w:t>
            </w:r>
            <w:r>
              <w:rPr>
                <w:rFonts w:ascii="Calibri" w:eastAsia="Calibri" w:hAnsi="Calibri" w:cs="Calibri"/>
                <w:color w:val="000000"/>
                <w:sz w:val="22"/>
              </w:rPr>
              <w:t xml:space="preserve"> </w:t>
            </w:r>
          </w:p>
          <w:p w:rsidR="00A37E99" w:rsidRDefault="00E74D2D">
            <w:pPr>
              <w:spacing w:before="240"/>
              <w:rPr>
                <w:color w:val="000000"/>
              </w:rPr>
            </w:pPr>
            <w:r>
              <w:rPr>
                <w:rFonts w:ascii="Times New Roman" w:eastAsia="Times New Roman" w:hAnsi="Times New Roman" w:cs="Times New Roman"/>
                <w:color w:val="000000"/>
                <w:szCs w:val="20"/>
              </w:rPr>
              <w:t>The Ministry of Culture of the Republic of Lithuania</w:t>
            </w:r>
          </w:p>
        </w:tc>
      </w:tr>
      <w:tr w:rsidR="00A37E99">
        <w:trPr>
          <w:trHeight w:val="24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Programme Grant:</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color w:val="000000"/>
                <w:szCs w:val="20"/>
              </w:rPr>
              <w:t xml:space="preserve">Total: </w:t>
            </w:r>
            <w:r>
              <w:rPr>
                <w:rFonts w:ascii="Times New Roman" w:eastAsia="Times New Roman" w:hAnsi="Times New Roman" w:cs="Times New Roman"/>
                <w:color w:val="000000"/>
                <w:szCs w:val="20"/>
              </w:rPr>
              <w:t>EUR 7,000,000</w:t>
            </w:r>
          </w:p>
          <w:p w:rsidR="00A37E99" w:rsidRDefault="00E74D2D">
            <w:pPr>
              <w:spacing w:before="240" w:after="240"/>
              <w:rPr>
                <w:color w:val="000000"/>
              </w:rPr>
            </w:pPr>
            <w:r>
              <w:rPr>
                <w:rFonts w:ascii="Times New Roman" w:eastAsia="Times New Roman" w:hAnsi="Times New Roman" w:cs="Times New Roman"/>
                <w:color w:val="000000"/>
                <w:szCs w:val="20"/>
              </w:rPr>
              <w:lastRenderedPageBreak/>
              <w:t xml:space="preserve">EEA Grants: EUR 7,000,000 </w:t>
            </w:r>
          </w:p>
          <w:p w:rsidR="00A37E99" w:rsidRDefault="00E74D2D">
            <w:pPr>
              <w:spacing w:before="240"/>
              <w:rPr>
                <w:color w:val="000000"/>
              </w:rPr>
            </w:pPr>
            <w:r>
              <w:rPr>
                <w:rFonts w:ascii="Times New Roman" w:eastAsia="Times New Roman" w:hAnsi="Times New Roman" w:cs="Times New Roman"/>
                <w:color w:val="000000"/>
                <w:szCs w:val="20"/>
              </w:rPr>
              <w:t>Norway Grants: EUR 0</w:t>
            </w:r>
          </w:p>
        </w:tc>
      </w:tr>
      <w:tr w:rsidR="00A37E99">
        <w:trPr>
          <w:trHeight w:val="240"/>
          <w:tblCellSpacing w:w="15" w:type="dxa"/>
        </w:trPr>
        <w:tc>
          <w:tcPr>
            <w:tcW w:w="10110"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lastRenderedPageBreak/>
              <w:t>STATUS OF THE PROGRAMME:</w:t>
            </w:r>
          </w:p>
        </w:tc>
      </w:tr>
      <w:tr w:rsidR="00A37E99">
        <w:trPr>
          <w:trHeight w:val="24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Overall progress – Programme development and implementation </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The programme agreement signed</w:t>
            </w:r>
            <w:r>
              <w:rPr>
                <w:rFonts w:ascii="Times New Roman" w:eastAsia="Times New Roman" w:hAnsi="Times New Roman" w:cs="Times New Roman"/>
                <w:color w:val="000000"/>
                <w:szCs w:val="20"/>
              </w:rPr>
              <w:t>: 19 June  2019</w:t>
            </w:r>
          </w:p>
          <w:p w:rsidR="00A37E99" w:rsidRDefault="00E74D2D">
            <w:pPr>
              <w:spacing w:before="240" w:after="240"/>
              <w:jc w:val="both"/>
              <w:rPr>
                <w:color w:val="000000"/>
              </w:rPr>
            </w:pPr>
            <w:r>
              <w:rPr>
                <w:rFonts w:ascii="Times New Roman" w:eastAsia="Times New Roman" w:hAnsi="Times New Roman" w:cs="Times New Roman"/>
                <w:b/>
                <w:bCs/>
                <w:color w:val="000000"/>
                <w:szCs w:val="20"/>
              </w:rPr>
              <w:t>PDP assessment:</w:t>
            </w:r>
            <w:r>
              <w:rPr>
                <w:rFonts w:ascii="Times New Roman" w:eastAsia="Times New Roman" w:hAnsi="Times New Roman" w:cs="Times New Roman"/>
                <w:color w:val="000000"/>
                <w:szCs w:val="20"/>
              </w:rPr>
              <w:t xml:space="preserve"> project agreement for PDP “FIXUS” signed on 12 December 2019. Project activities have been implemented.</w:t>
            </w:r>
          </w:p>
          <w:p w:rsidR="00A37E99" w:rsidRDefault="00E74D2D">
            <w:pPr>
              <w:spacing w:before="240"/>
              <w:jc w:val="both"/>
              <w:rPr>
                <w:color w:val="000000"/>
              </w:rPr>
            </w:pPr>
            <w:r>
              <w:rPr>
                <w:rFonts w:ascii="Times New Roman" w:eastAsia="Times New Roman" w:hAnsi="Times New Roman" w:cs="Times New Roman"/>
                <w:b/>
                <w:bCs/>
                <w:color w:val="000000"/>
                <w:szCs w:val="20"/>
              </w:rPr>
              <w:t>Calls for proposals:</w:t>
            </w:r>
            <w:r>
              <w:rPr>
                <w:rFonts w:ascii="Calibri" w:eastAsia="Calibri" w:hAnsi="Calibri" w:cs="Calibri"/>
                <w:color w:val="000000"/>
                <w:sz w:val="22"/>
              </w:rPr>
              <w:t xml:space="preserve"> </w:t>
            </w:r>
            <w:r>
              <w:rPr>
                <w:rFonts w:ascii="Times New Roman" w:eastAsia="Times New Roman" w:hAnsi="Times New Roman" w:cs="Times New Roman"/>
                <w:color w:val="000000"/>
                <w:szCs w:val="20"/>
              </w:rPr>
              <w:t>2 open calls are fully completed, all projects selected are contracted. In total, 16 projects are under implementation.</w:t>
            </w:r>
          </w:p>
        </w:tc>
      </w:tr>
      <w:tr w:rsidR="00A37E99">
        <w:trPr>
          <w:trHeight w:val="51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How speci</w:t>
            </w:r>
            <w:r>
              <w:rPr>
                <w:rFonts w:ascii="Times New Roman" w:eastAsia="Times New Roman" w:hAnsi="Times New Roman" w:cs="Times New Roman"/>
                <w:b/>
                <w:bCs/>
                <w:color w:val="000000"/>
                <w:szCs w:val="20"/>
              </w:rPr>
              <w:t>fic concerns in the MoU have been addressed:</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b/>
                <w:bCs/>
                <w:color w:val="000000"/>
                <w:szCs w:val="20"/>
              </w:rPr>
              <w:t>To stimulate local development and regeneration through support for cultural, creative and cultural heritage revitalization activities that involve and empower local communities, to ensure social inclusion and a</w:t>
            </w:r>
            <w:r>
              <w:rPr>
                <w:rFonts w:ascii="Times New Roman" w:eastAsia="Times New Roman" w:hAnsi="Times New Roman" w:cs="Times New Roman"/>
                <w:b/>
                <w:bCs/>
                <w:color w:val="000000"/>
                <w:szCs w:val="20"/>
              </w:rPr>
              <w:t>nti-discrimination and cross-sector partnerships.</w:t>
            </w:r>
          </w:p>
          <w:p w:rsidR="00A37E99" w:rsidRDefault="00E74D2D">
            <w:pPr>
              <w:spacing w:before="240" w:after="240"/>
              <w:jc w:val="both"/>
              <w:rPr>
                <w:color w:val="000000"/>
              </w:rPr>
            </w:pPr>
            <w:r>
              <w:rPr>
                <w:rFonts w:ascii="Times New Roman" w:eastAsia="Times New Roman" w:hAnsi="Times New Roman" w:cs="Times New Roman"/>
                <w:color w:val="000000"/>
                <w:szCs w:val="20"/>
              </w:rPr>
              <w:t>Regarding Open Call 1 with the primary goal to improve the access to culture and enhance cultural education, the importance of partnership between international, national, regional and local organisations p</w:t>
            </w:r>
            <w:r>
              <w:rPr>
                <w:rFonts w:ascii="Times New Roman" w:eastAsia="Times New Roman" w:hAnsi="Times New Roman" w:cs="Times New Roman"/>
                <w:color w:val="000000"/>
                <w:szCs w:val="20"/>
              </w:rPr>
              <w:t>utting emphasis on multi-level cooperation, including local stakeholders, and addressing their specific needs, is attached and was available in the Guidelines for applicants.</w:t>
            </w:r>
          </w:p>
          <w:p w:rsidR="00A37E99" w:rsidRDefault="00E74D2D">
            <w:pPr>
              <w:spacing w:before="240" w:after="240"/>
              <w:jc w:val="both"/>
              <w:rPr>
                <w:color w:val="000000"/>
              </w:rPr>
            </w:pPr>
            <w:r>
              <w:rPr>
                <w:rFonts w:ascii="Times New Roman" w:eastAsia="Times New Roman" w:hAnsi="Times New Roman" w:cs="Times New Roman"/>
                <w:color w:val="000000"/>
                <w:szCs w:val="20"/>
              </w:rPr>
              <w:t>Within Open Call 2, which aims at supporting local cultural entrepreneurship, the</w:t>
            </w:r>
            <w:r>
              <w:rPr>
                <w:rFonts w:ascii="Times New Roman" w:eastAsia="Times New Roman" w:hAnsi="Times New Roman" w:cs="Times New Roman"/>
                <w:color w:val="000000"/>
                <w:szCs w:val="20"/>
              </w:rPr>
              <w:t xml:space="preserve"> importance of local context of specific communities was also communicated in the Guidelines for applicants.</w:t>
            </w:r>
          </w:p>
          <w:p w:rsidR="00A37E99" w:rsidRDefault="00E74D2D">
            <w:pPr>
              <w:spacing w:before="240"/>
              <w:jc w:val="both"/>
              <w:rPr>
                <w:color w:val="000000"/>
              </w:rPr>
            </w:pPr>
            <w:r>
              <w:rPr>
                <w:rFonts w:ascii="Times New Roman" w:eastAsia="Times New Roman" w:hAnsi="Times New Roman" w:cs="Times New Roman"/>
                <w:color w:val="000000"/>
                <w:szCs w:val="20"/>
              </w:rPr>
              <w:t>The PDP of the Programme aims at stimulating the revitalisation of local-level cultural heritage via consultations to heritage owners on the subjec</w:t>
            </w:r>
            <w:r>
              <w:rPr>
                <w:rFonts w:ascii="Times New Roman" w:eastAsia="Times New Roman" w:hAnsi="Times New Roman" w:cs="Times New Roman"/>
                <w:color w:val="000000"/>
                <w:szCs w:val="20"/>
              </w:rPr>
              <w:t>t of maintenance of those objects.</w:t>
            </w:r>
          </w:p>
        </w:tc>
      </w:tr>
      <w:tr w:rsidR="00A37E99">
        <w:trPr>
          <w:trHeight w:val="36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rFonts w:ascii="Times New Roman" w:eastAsia="Times New Roman" w:hAnsi="Times New Roman" w:cs="Times New Roman"/>
                <w:b/>
                <w:bCs/>
                <w:color w:val="000000"/>
                <w:szCs w:val="20"/>
              </w:rPr>
              <w:t xml:space="preserve">Problems related to programme development and implementation, with suggested solutions </w:t>
            </w:r>
          </w:p>
          <w:p w:rsidR="00A37E99" w:rsidRDefault="00E74D2D">
            <w:pPr>
              <w:spacing w:before="240"/>
              <w:rPr>
                <w:color w:val="000000"/>
              </w:rPr>
            </w:pPr>
            <w:r>
              <w:rPr>
                <w:rFonts w:ascii="Calibri" w:eastAsia="Calibri" w:hAnsi="Calibri" w:cs="Calibri"/>
                <w:b/>
                <w:bCs/>
                <w:color w:val="000000"/>
                <w:sz w:val="22"/>
              </w:rPr>
              <w:t> </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jc w:val="both"/>
              <w:rPr>
                <w:color w:val="000000"/>
              </w:rPr>
            </w:pPr>
            <w:r>
              <w:rPr>
                <w:rFonts w:ascii="Times New Roman" w:eastAsia="Times New Roman" w:hAnsi="Times New Roman" w:cs="Times New Roman"/>
                <w:color w:val="000000"/>
                <w:szCs w:val="20"/>
              </w:rPr>
              <w:t>Overall risk of the Programme has not changed as compared to the previous reporting period.</w:t>
            </w:r>
          </w:p>
          <w:p w:rsidR="00A37E99" w:rsidRDefault="00E74D2D">
            <w:pPr>
              <w:spacing w:before="240" w:after="240"/>
              <w:jc w:val="both"/>
              <w:rPr>
                <w:color w:val="000000"/>
              </w:rPr>
            </w:pPr>
            <w:r>
              <w:rPr>
                <w:rFonts w:ascii="Times New Roman" w:eastAsia="Times New Roman" w:hAnsi="Times New Roman" w:cs="Times New Roman"/>
                <w:color w:val="000000"/>
                <w:szCs w:val="20"/>
              </w:rPr>
              <w:t>There are some delays in achieving the</w:t>
            </w:r>
            <w:r>
              <w:rPr>
                <w:rFonts w:ascii="Times New Roman" w:eastAsia="Times New Roman" w:hAnsi="Times New Roman" w:cs="Times New Roman"/>
                <w:color w:val="000000"/>
                <w:szCs w:val="20"/>
              </w:rPr>
              <w:t xml:space="preserve"> Programme indicators but by the end of the Programme all planned indicators will be achieved as foreseen.</w:t>
            </w:r>
          </w:p>
          <w:p w:rsidR="00A37E99" w:rsidRDefault="00E74D2D">
            <w:pPr>
              <w:spacing w:before="240" w:after="240"/>
              <w:jc w:val="both"/>
              <w:rPr>
                <w:color w:val="000000"/>
              </w:rPr>
            </w:pPr>
            <w:r>
              <w:rPr>
                <w:rFonts w:ascii="Times New Roman" w:eastAsia="Times New Roman" w:hAnsi="Times New Roman" w:cs="Times New Roman"/>
                <w:color w:val="000000"/>
                <w:szCs w:val="20"/>
              </w:rPr>
              <w:t>Due to pandemic there were some delays in implementation of project activities but 2022 was a critical year when many activities took a strong pace.</w:t>
            </w:r>
          </w:p>
          <w:p w:rsidR="00A37E99" w:rsidRDefault="00E74D2D">
            <w:pPr>
              <w:spacing w:before="240"/>
              <w:jc w:val="both"/>
              <w:rPr>
                <w:color w:val="000000"/>
              </w:rPr>
            </w:pPr>
            <w:r>
              <w:rPr>
                <w:rFonts w:ascii="Times New Roman" w:eastAsia="Times New Roman" w:hAnsi="Times New Roman" w:cs="Times New Roman"/>
                <w:color w:val="000000"/>
                <w:szCs w:val="20"/>
              </w:rPr>
              <w:t>Infrastructural projects have faced serious challenges in 2022 due to rapidly increasing prices of goods, services, construction works, energy prices and inflation. The shortage of staff in construction business has also influenced problems with deadlines,</w:t>
            </w:r>
            <w:r>
              <w:rPr>
                <w:rFonts w:ascii="Times New Roman" w:eastAsia="Times New Roman" w:hAnsi="Times New Roman" w:cs="Times New Roman"/>
                <w:color w:val="000000"/>
                <w:szCs w:val="20"/>
              </w:rPr>
              <w:t xml:space="preserve"> failed public procurements. In order to solve these challenges, project promoters managed to get additional funds, project implementation time was extended.</w:t>
            </w:r>
          </w:p>
        </w:tc>
      </w:tr>
      <w:tr w:rsidR="00A37E99">
        <w:trPr>
          <w:trHeight w:val="360"/>
          <w:tblCellSpacing w:w="15" w:type="dxa"/>
        </w:trPr>
        <w:tc>
          <w:tcPr>
            <w:tcW w:w="28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b/>
                <w:bCs/>
                <w:color w:val="000000"/>
                <w:szCs w:val="20"/>
              </w:rPr>
              <w:t xml:space="preserve">Progress in strengthening BR with donor state entities, including the use of bilateral funds allocated </w:t>
            </w:r>
            <w:r>
              <w:rPr>
                <w:rFonts w:ascii="Times New Roman" w:eastAsia="Times New Roman" w:hAnsi="Times New Roman" w:cs="Times New Roman"/>
                <w:b/>
                <w:bCs/>
                <w:color w:val="000000"/>
                <w:szCs w:val="20"/>
              </w:rPr>
              <w:lastRenderedPageBreak/>
              <w:t xml:space="preserve">to the programme </w:t>
            </w:r>
          </w:p>
        </w:tc>
        <w:tc>
          <w:tcPr>
            <w:tcW w:w="729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jc w:val="both"/>
              <w:rPr>
                <w:color w:val="000000"/>
              </w:rPr>
            </w:pPr>
            <w:r>
              <w:rPr>
                <w:rFonts w:ascii="Times New Roman" w:eastAsia="Times New Roman" w:hAnsi="Times New Roman" w:cs="Times New Roman"/>
                <w:color w:val="000000"/>
                <w:szCs w:val="20"/>
              </w:rPr>
              <w:lastRenderedPageBreak/>
              <w:t>There were several important visits and meetings organized in the reporting period that strengthened bilateral relations on both Progra</w:t>
            </w:r>
            <w:r>
              <w:rPr>
                <w:rFonts w:ascii="Times New Roman" w:eastAsia="Times New Roman" w:hAnsi="Times New Roman" w:cs="Times New Roman"/>
                <w:color w:val="000000"/>
                <w:szCs w:val="20"/>
              </w:rPr>
              <w:t>mme and project levels. For instance, virtual meetings of the Cooperation Committee, meeting of the Programme Operators in Vilnius and Kaunas; various joint exchange events between project promoters and Donor partners.</w:t>
            </w:r>
          </w:p>
        </w:tc>
      </w:tr>
    </w:tbl>
    <w:p w:rsidR="00A37E99" w:rsidRDefault="00E74D2D">
      <w:pPr>
        <w:spacing w:before="240" w:after="240"/>
      </w:pPr>
      <w:r>
        <w:lastRenderedPageBreak/>
        <w:t> </w:t>
      </w:r>
    </w:p>
    <w:p w:rsidR="00FD53F5" w:rsidRPr="0004386F" w:rsidRDefault="00E74D2D" w:rsidP="00FD53F5">
      <w:pPr>
        <w:pStyle w:val="Antrat1"/>
        <w:rPr>
          <w:rFonts w:cs="Arial"/>
          <w:szCs w:val="22"/>
        </w:rPr>
      </w:pPr>
      <w:bookmarkStart w:id="13" w:name="_Toc256000011"/>
      <w:r w:rsidRPr="0004386F">
        <w:rPr>
          <w:rFonts w:cs="Arial"/>
          <w:szCs w:val="22"/>
        </w:rPr>
        <w:t>4.</w:t>
      </w:r>
      <w:r w:rsidRPr="0004386F">
        <w:rPr>
          <w:rFonts w:cs="Arial"/>
          <w:szCs w:val="22"/>
        </w:rPr>
        <w:tab/>
      </w:r>
      <w:r w:rsidR="00BF2EFE" w:rsidRPr="0004386F">
        <w:rPr>
          <w:rFonts w:cs="Arial"/>
          <w:szCs w:val="22"/>
        </w:rPr>
        <w:t>Status of bilateral funds</w:t>
      </w:r>
      <w:bookmarkEnd w:id="13"/>
    </w:p>
    <w:p w:rsidR="00A37E99" w:rsidRDefault="00E74D2D">
      <w:pPr>
        <w:spacing w:after="240"/>
      </w:pPr>
      <w:r>
        <w:rPr>
          <w:rFonts w:ascii="Times New Roman" w:eastAsia="Times New Roman" w:hAnsi="Times New Roman" w:cs="Times New Roman"/>
          <w:b/>
          <w:bCs/>
          <w:sz w:val="22"/>
        </w:rPr>
        <w:t>The s</w:t>
      </w:r>
      <w:r>
        <w:rPr>
          <w:rFonts w:ascii="Times New Roman" w:eastAsia="Times New Roman" w:hAnsi="Times New Roman" w:cs="Times New Roman"/>
          <w:b/>
          <w:bCs/>
          <w:sz w:val="22"/>
        </w:rPr>
        <w:t>tatus of the FBR in the programmes.</w:t>
      </w:r>
      <w:r>
        <w:rPr>
          <w:rFonts w:ascii="Times New Roman" w:eastAsia="Times New Roman" w:hAnsi="Times New Roman" w:cs="Times New Roman"/>
          <w:sz w:val="22"/>
        </w:rPr>
        <w:t xml:space="preserve"> The allocations from the FBR in the programmes are made by organising open calls or based on pre-defined activities. The allocations set in the MoU are distributed by POs in cooperation with the CC (where applicable). Th</w:t>
      </w:r>
      <w:r>
        <w:rPr>
          <w:rFonts w:ascii="Times New Roman" w:eastAsia="Times New Roman" w:hAnsi="Times New Roman" w:cs="Times New Roman"/>
          <w:sz w:val="22"/>
        </w:rPr>
        <w:t>e FBR spending in 2022 is presented in the last column of Table 1 below.</w:t>
      </w:r>
    </w:p>
    <w:p w:rsidR="00A37E99" w:rsidRDefault="00E74D2D">
      <w:pPr>
        <w:spacing w:before="240" w:after="240"/>
        <w:jc w:val="both"/>
      </w:pPr>
      <w:r>
        <w:t> </w:t>
      </w:r>
    </w:p>
    <w:p w:rsidR="00A37E99" w:rsidRDefault="00E74D2D">
      <w:pPr>
        <w:spacing w:before="240" w:after="240"/>
        <w:jc w:val="both"/>
      </w:pPr>
      <w:r>
        <w:t> </w:t>
      </w:r>
    </w:p>
    <w:p w:rsidR="00A37E99" w:rsidRDefault="00E74D2D">
      <w:pPr>
        <w:spacing w:before="240" w:after="240"/>
        <w:jc w:val="both"/>
      </w:pPr>
      <w:r>
        <w:t> </w:t>
      </w:r>
    </w:p>
    <w:p w:rsidR="00A37E99" w:rsidRDefault="00E74D2D">
      <w:pPr>
        <w:spacing w:before="240" w:after="240"/>
        <w:jc w:val="both"/>
      </w:pPr>
      <w:r>
        <w:rPr>
          <w:rFonts w:ascii="Times New Roman" w:eastAsia="Times New Roman" w:hAnsi="Times New Roman" w:cs="Times New Roman"/>
          <w:i/>
          <w:iCs/>
          <w:sz w:val="21"/>
          <w:szCs w:val="21"/>
        </w:rPr>
        <w:t>Table 1. Fund for Bilateral Relations Programme Budgets and Expenditure Rates:</w:t>
      </w:r>
    </w:p>
    <w:tbl>
      <w:tblPr>
        <w:tblW w:w="10965" w:type="dxa"/>
        <w:jc w:val="center"/>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1697"/>
        <w:gridCol w:w="1262"/>
        <w:gridCol w:w="1406"/>
        <w:gridCol w:w="1645"/>
        <w:gridCol w:w="1648"/>
        <w:gridCol w:w="1682"/>
        <w:gridCol w:w="1625"/>
      </w:tblGrid>
      <w:tr w:rsidR="00A37E99">
        <w:trPr>
          <w:trHeight w:val="25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Programme</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EEA</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NOR</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Expression of interest for additional funding</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EEA &amp; NOR 2014–2021, Total</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Expenditure by 03/2022</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 xml:space="preserve">Expenditure by 03/2023 </w:t>
            </w:r>
            <w:r>
              <w:rPr>
                <w:rFonts w:ascii="Times New Roman" w:eastAsia="Times New Roman" w:hAnsi="Times New Roman" w:cs="Times New Roman"/>
                <w:color w:val="000000"/>
                <w:szCs w:val="20"/>
              </w:rPr>
              <w:t>(expenditure in the reporting period)</w:t>
            </w:r>
          </w:p>
        </w:tc>
      </w:tr>
      <w:tr w:rsidR="00A37E99">
        <w:trPr>
          <w:trHeight w:val="25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Research</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100,000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Style w:val="tddiv"/>
              <w:spacing w:after="0"/>
              <w:ind w:left="108" w:right="108"/>
              <w:rPr>
                <w:color w:val="000000"/>
              </w:rPr>
            </w:pPr>
            <w:r>
              <w:rPr>
                <w:color w:val="000000"/>
              </w:rPr>
              <w:t> </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100,000</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24,976</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15,159.35</w:t>
            </w:r>
          </w:p>
        </w:tc>
      </w:tr>
      <w:tr w:rsidR="00A37E99">
        <w:trPr>
          <w:trHeight w:val="25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Business Development, Innovation and SMEs</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125,000</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125,000</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51,904</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17,398.15</w:t>
            </w:r>
          </w:p>
        </w:tc>
      </w:tr>
      <w:tr w:rsidR="00A37E99">
        <w:trPr>
          <w:trHeight w:val="25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Environment, Energy, Climate Change</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45,000</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color w:val="000000"/>
              </w:rPr>
              <w:t> </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45,000</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4,719</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8,834.29</w:t>
            </w:r>
          </w:p>
        </w:tc>
      </w:tr>
      <w:tr w:rsidR="00A37E99">
        <w:trPr>
          <w:trHeight w:val="31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Culture</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100,000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68,774.55</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168,774.55</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52,188</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r>
      <w:tr w:rsidR="00A37E99">
        <w:trPr>
          <w:trHeight w:val="31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Health</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100,000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53,550</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153,550</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27,723</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534.17</w:t>
            </w:r>
          </w:p>
        </w:tc>
      </w:tr>
      <w:tr w:rsidR="00A37E99">
        <w:trPr>
          <w:trHeight w:val="315"/>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Justice and Home Affairs</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75,000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125,000</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163,567</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363,567</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98,583.72</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17,533.78</w:t>
            </w:r>
          </w:p>
        </w:tc>
      </w:tr>
      <w:tr w:rsidR="00A37E99">
        <w:trPr>
          <w:trHeight w:val="30"/>
          <w:tblCellSpacing w:w="15" w:type="dxa"/>
          <w:jc w:val="center"/>
        </w:trPr>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Total:</w:t>
            </w:r>
          </w:p>
        </w:tc>
        <w:tc>
          <w:tcPr>
            <w:tcW w:w="13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375,000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325,000</w:t>
            </w:r>
          </w:p>
        </w:tc>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255,891.55</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955,891.55</w:t>
            </w:r>
          </w:p>
        </w:tc>
        <w:tc>
          <w:tcPr>
            <w:tcW w:w="17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260,093.72</w:t>
            </w:r>
          </w:p>
        </w:tc>
        <w:tc>
          <w:tcPr>
            <w:tcW w:w="163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59,459.74</w:t>
            </w:r>
          </w:p>
        </w:tc>
      </w:tr>
    </w:tbl>
    <w:p w:rsidR="00A37E99" w:rsidRDefault="00E74D2D">
      <w:pPr>
        <w:spacing w:before="240" w:after="240"/>
      </w:pPr>
      <w:r>
        <w:t> </w:t>
      </w:r>
    </w:p>
    <w:p w:rsidR="00A37E99" w:rsidRDefault="00E74D2D">
      <w:pPr>
        <w:spacing w:before="240" w:after="240"/>
        <w:jc w:val="both"/>
      </w:pPr>
      <w:r>
        <w:rPr>
          <w:rFonts w:ascii="Times New Roman" w:eastAsia="Times New Roman" w:hAnsi="Times New Roman" w:cs="Times New Roman"/>
          <w:sz w:val="22"/>
        </w:rPr>
        <w:t xml:space="preserve">As seen in the Table 1 above, all the programmes (except for Culture) have incurred expenditure over the year of 2022. Similarly to previous years, Justice and Home Affairs programme remains the most active programme in terms of being engaged </w:t>
      </w:r>
      <w:r>
        <w:rPr>
          <w:rFonts w:ascii="Times New Roman" w:eastAsia="Times New Roman" w:hAnsi="Times New Roman" w:cs="Times New Roman"/>
          <w:sz w:val="22"/>
        </w:rPr>
        <w:t>in the development of bilateral relations. Culture programme has not incurred any expenditure/implemented any activities largely due to delay of previously planned bilateral activities that should begin in the second part of 2023. The delay was significant</w:t>
      </w:r>
      <w:r>
        <w:rPr>
          <w:rFonts w:ascii="Times New Roman" w:eastAsia="Times New Roman" w:hAnsi="Times New Roman" w:cs="Times New Roman"/>
          <w:sz w:val="22"/>
        </w:rPr>
        <w:t xml:space="preserve">ly impacted by the changes in staff from both Donor and Beneficiary state partners. Although the levels of incurred expenditure are still relatively low and account for 33% of total funding assigned to the bilateral objective on the </w:t>
      </w:r>
      <w:r>
        <w:rPr>
          <w:rFonts w:ascii="Times New Roman" w:eastAsia="Times New Roman" w:hAnsi="Times New Roman" w:cs="Times New Roman"/>
          <w:sz w:val="22"/>
        </w:rPr>
        <w:lastRenderedPageBreak/>
        <w:t xml:space="preserve">programme level, there </w:t>
      </w:r>
      <w:r>
        <w:rPr>
          <w:rFonts w:ascii="Times New Roman" w:eastAsia="Times New Roman" w:hAnsi="Times New Roman" w:cs="Times New Roman"/>
          <w:sz w:val="22"/>
        </w:rPr>
        <w:t>is a positive trend of increased bilateral activity compared to the COVID-19 pandemic period. According to the NFP survey, programme operators are well-acquainted with the current expenditure status of the FBR and have established plans for bilateral activ</w:t>
      </w:r>
      <w:r>
        <w:rPr>
          <w:rFonts w:ascii="Times New Roman" w:eastAsia="Times New Roman" w:hAnsi="Times New Roman" w:cs="Times New Roman"/>
          <w:sz w:val="22"/>
        </w:rPr>
        <w:t>ities in the future that should significantly bridge the gap between available funding and incurred expenditure levels.</w:t>
      </w:r>
    </w:p>
    <w:p w:rsidR="00A37E99" w:rsidRDefault="00E74D2D">
      <w:pPr>
        <w:spacing w:before="240" w:after="240"/>
      </w:pPr>
      <w:r>
        <w:t> </w:t>
      </w:r>
    </w:p>
    <w:p w:rsidR="00A37E99" w:rsidRDefault="00E74D2D">
      <w:pPr>
        <w:spacing w:before="240" w:after="240"/>
        <w:jc w:val="both"/>
      </w:pPr>
      <w:r>
        <w:rPr>
          <w:rFonts w:ascii="Times New Roman" w:eastAsia="Times New Roman" w:hAnsi="Times New Roman" w:cs="Times New Roman"/>
          <w:sz w:val="22"/>
        </w:rPr>
        <w:t>Health and Culture programme operators have identified an additional demand to fund bilateral activities in the future and expressed i</w:t>
      </w:r>
      <w:r>
        <w:rPr>
          <w:rFonts w:ascii="Times New Roman" w:eastAsia="Times New Roman" w:hAnsi="Times New Roman" w:cs="Times New Roman"/>
          <w:sz w:val="22"/>
        </w:rPr>
        <w:t>nterests for additional funding from the FBR to the JCBF. Additional funding requests were approved in their entirety (Culture) or in part (Health). Contrary, as a result of the NFP survey, Environment, Energy, Climate Change programme operator has reasses</w:t>
      </w:r>
      <w:r>
        <w:rPr>
          <w:rFonts w:ascii="Times New Roman" w:eastAsia="Times New Roman" w:hAnsi="Times New Roman" w:cs="Times New Roman"/>
          <w:sz w:val="22"/>
        </w:rPr>
        <w:t>sed programme’s ability to use all of the available funds by the final eligibility of expenditure date (30 April 2025) and after JCBF’s permission returned EUR 30,000 of funds assigned to the programme to other FBR funding needs.</w:t>
      </w:r>
    </w:p>
    <w:p w:rsidR="00A37E99" w:rsidRDefault="00E74D2D">
      <w:pPr>
        <w:spacing w:before="240" w:after="240"/>
        <w:jc w:val="both"/>
      </w:pPr>
      <w:r>
        <w:t> </w:t>
      </w:r>
    </w:p>
    <w:p w:rsidR="00A37E99" w:rsidRDefault="00E74D2D">
      <w:pPr>
        <w:spacing w:before="240" w:after="240"/>
        <w:jc w:val="both"/>
      </w:pPr>
      <w:r>
        <w:rPr>
          <w:rFonts w:ascii="Times New Roman" w:eastAsia="Times New Roman" w:hAnsi="Times New Roman" w:cs="Times New Roman"/>
          <w:b/>
          <w:bCs/>
          <w:sz w:val="21"/>
          <w:szCs w:val="21"/>
        </w:rPr>
        <w:t>The status of the FBR ou</w:t>
      </w:r>
      <w:r>
        <w:rPr>
          <w:rFonts w:ascii="Times New Roman" w:eastAsia="Times New Roman" w:hAnsi="Times New Roman" w:cs="Times New Roman"/>
          <w:b/>
          <w:bCs/>
          <w:sz w:val="21"/>
          <w:szCs w:val="21"/>
        </w:rPr>
        <w:t>tside the programmes</w:t>
      </w:r>
      <w:r>
        <w:rPr>
          <w:rFonts w:ascii="Times New Roman" w:eastAsia="Times New Roman" w:hAnsi="Times New Roman" w:cs="Times New Roman"/>
          <w:sz w:val="21"/>
          <w:szCs w:val="21"/>
        </w:rPr>
        <w:t xml:space="preserve">. </w:t>
      </w:r>
    </w:p>
    <w:p w:rsidR="00A37E99" w:rsidRDefault="00E74D2D">
      <w:pPr>
        <w:spacing w:before="240" w:after="240"/>
        <w:jc w:val="both"/>
      </w:pPr>
      <w:r>
        <w:rPr>
          <w:rFonts w:ascii="Times New Roman" w:eastAsia="Times New Roman" w:hAnsi="Times New Roman" w:cs="Times New Roman"/>
          <w:i/>
          <w:iCs/>
          <w:sz w:val="21"/>
          <w:szCs w:val="21"/>
        </w:rPr>
        <w:t>Table 2. Activities of the NFP in 2022 (until March 2023):</w:t>
      </w:r>
    </w:p>
    <w:tbl>
      <w:tblPr>
        <w:tblW w:w="0" w:type="auto"/>
        <w:jc w:val="center"/>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4055"/>
        <w:gridCol w:w="1165"/>
        <w:gridCol w:w="3986"/>
      </w:tblGrid>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Cs w:val="20"/>
              </w:rPr>
              <w:t>Type of Activity</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Date</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Cs w:val="20"/>
              </w:rPr>
              <w:t>Result</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Regular consultations with the potential BR initiative promoters on funding possibilities from the FBR.</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All year</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 xml:space="preserve">5 BR initiative funding proposals and 2 concept notes received. </w:t>
            </w:r>
          </w:p>
        </w:tc>
      </w:tr>
      <w:tr w:rsidR="00A37E99">
        <w:trPr>
          <w:trHeight w:val="510"/>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Pre-evaluation of the BR initiatives proposed by the various potential initiative promoters.</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All year</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5 BR initiative proposals and 2 concept notes pre-evaluated.</w:t>
            </w:r>
          </w:p>
        </w:tc>
      </w:tr>
      <w:tr w:rsidR="00A37E99">
        <w:trPr>
          <w:trHeight w:val="495"/>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 xml:space="preserve">Organization of the JCBF </w:t>
            </w:r>
            <w:r>
              <w:rPr>
                <w:rFonts w:ascii="Times New Roman" w:eastAsia="Times New Roman" w:hAnsi="Times New Roman" w:cs="Times New Roman"/>
                <w:color w:val="000000"/>
                <w:szCs w:val="20"/>
              </w:rPr>
              <w:t>meetings (written procedures) for the consideration of proposed BR initiatives.</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All year</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 xml:space="preserve">4 BR initiatives approved for funding. </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Evaluation of expressions of interest from the programme operators (Health and Culture) for additional funding.</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All year</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 xml:space="preserve">2 </w:t>
            </w:r>
            <w:r>
              <w:rPr>
                <w:rFonts w:ascii="Times New Roman" w:eastAsia="Times New Roman" w:hAnsi="Times New Roman" w:cs="Times New Roman"/>
                <w:color w:val="000000"/>
                <w:szCs w:val="20"/>
              </w:rPr>
              <w:t>expressions of interest for additional funding evaluated and put forward for the consideration to the JCBF.</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Organization of JCBF meetings (written procedures) for the consideration of proposed expressions of interest by the programme operators (Health and</w:t>
            </w:r>
            <w:r>
              <w:rPr>
                <w:rFonts w:ascii="Times New Roman" w:eastAsia="Times New Roman" w:hAnsi="Times New Roman" w:cs="Times New Roman"/>
                <w:color w:val="000000"/>
                <w:szCs w:val="20"/>
              </w:rPr>
              <w:t xml:space="preserve"> Culture) for funding.</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All year</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2 expressions of interest for additional funding approved in part or in entirety by the JCBF.</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Work Plan renewal</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November – December 2022</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Work plan renewal approved by the JCBF on 15 December 2022.</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 xml:space="preserve">Organisation of 2 the JCBF annual meetings. </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May and December 2022</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ind w:left="108" w:right="108"/>
              <w:jc w:val="both"/>
              <w:rPr>
                <w:color w:val="000000"/>
              </w:rPr>
            </w:pPr>
            <w:r>
              <w:rPr>
                <w:rFonts w:ascii="Times New Roman" w:eastAsia="Times New Roman" w:hAnsi="Times New Roman" w:cs="Times New Roman"/>
                <w:color w:val="000000"/>
                <w:szCs w:val="20"/>
              </w:rPr>
              <w:t xml:space="preserve">20 May 2022 Annual meeting decisions: </w:t>
            </w:r>
          </w:p>
          <w:p w:rsidR="00A37E99" w:rsidRDefault="00E74D2D">
            <w:pPr>
              <w:spacing w:before="240" w:after="240"/>
              <w:ind w:left="108" w:right="108"/>
              <w:jc w:val="both"/>
              <w:rPr>
                <w:color w:val="000000"/>
              </w:rPr>
            </w:pPr>
            <w:r>
              <w:rPr>
                <w:rFonts w:ascii="Times New Roman" w:eastAsia="Times New Roman" w:hAnsi="Times New Roman" w:cs="Times New Roman"/>
                <w:color w:val="000000"/>
                <w:szCs w:val="20"/>
              </w:rPr>
              <w:t>-  Prioritize pre-defined initiative proposals that address the refugee crisis in Lithuania;</w:t>
            </w:r>
            <w:r>
              <w:rPr>
                <w:rFonts w:ascii="Times New Roman" w:eastAsia="Times New Roman" w:hAnsi="Times New Roman" w:cs="Times New Roman"/>
                <w:color w:val="000000"/>
                <w:szCs w:val="20"/>
              </w:rPr>
              <w:br/>
              <w:t xml:space="preserve">- Reallocate available funds for BR activities in </w:t>
            </w:r>
            <w:r>
              <w:rPr>
                <w:rFonts w:ascii="Times New Roman" w:eastAsia="Times New Roman" w:hAnsi="Times New Roman" w:cs="Times New Roman"/>
                <w:color w:val="000000"/>
                <w:szCs w:val="20"/>
              </w:rPr>
              <w:t>Environment programme to other FBR funding needs.</w:t>
            </w:r>
            <w:r>
              <w:rPr>
                <w:rFonts w:ascii="Times New Roman" w:eastAsia="Times New Roman" w:hAnsi="Times New Roman" w:cs="Times New Roman"/>
                <w:color w:val="000000"/>
                <w:szCs w:val="20"/>
              </w:rPr>
              <w:br/>
            </w:r>
            <w:r>
              <w:rPr>
                <w:rFonts w:ascii="Times New Roman" w:eastAsia="Times New Roman" w:hAnsi="Times New Roman" w:cs="Times New Roman"/>
                <w:color w:val="000000"/>
                <w:szCs w:val="20"/>
              </w:rPr>
              <w:lastRenderedPageBreak/>
              <w:t>- Approve funding for one pre-defined bilateral initiative to address Ukrainian refugee needs.</w:t>
            </w:r>
            <w:r>
              <w:rPr>
                <w:rFonts w:ascii="Times New Roman" w:eastAsia="Times New Roman" w:hAnsi="Times New Roman" w:cs="Times New Roman"/>
                <w:color w:val="000000"/>
                <w:szCs w:val="20"/>
              </w:rPr>
              <w:br/>
            </w:r>
            <w:r>
              <w:rPr>
                <w:color w:val="000000"/>
              </w:rPr>
              <w:t> </w:t>
            </w:r>
          </w:p>
          <w:p w:rsidR="00A37E99" w:rsidRDefault="00E74D2D">
            <w:pPr>
              <w:spacing w:before="240" w:after="240"/>
              <w:ind w:left="108" w:right="108"/>
              <w:jc w:val="both"/>
              <w:rPr>
                <w:color w:val="000000"/>
              </w:rPr>
            </w:pPr>
            <w:r>
              <w:rPr>
                <w:rFonts w:ascii="Times New Roman" w:eastAsia="Times New Roman" w:hAnsi="Times New Roman" w:cs="Times New Roman"/>
                <w:color w:val="000000"/>
                <w:szCs w:val="20"/>
              </w:rPr>
              <w:t>15 December 2022 Annual meeting decisions:</w:t>
            </w:r>
          </w:p>
          <w:p w:rsidR="00A37E99" w:rsidRDefault="00E74D2D">
            <w:pPr>
              <w:spacing w:before="240" w:after="240"/>
              <w:ind w:left="108" w:right="108"/>
              <w:jc w:val="both"/>
              <w:rPr>
                <w:color w:val="000000"/>
              </w:rPr>
            </w:pPr>
            <w:r>
              <w:rPr>
                <w:rFonts w:ascii="Times New Roman" w:eastAsia="Times New Roman" w:hAnsi="Times New Roman" w:cs="Times New Roman"/>
                <w:color w:val="000000"/>
                <w:szCs w:val="20"/>
              </w:rPr>
              <w:t>- Approve Work Plan renewal.</w:t>
            </w:r>
          </w:p>
          <w:p w:rsidR="00A37E99" w:rsidRDefault="00E74D2D">
            <w:pPr>
              <w:spacing w:before="240" w:after="0"/>
              <w:ind w:left="108" w:right="108"/>
              <w:jc w:val="both"/>
              <w:rPr>
                <w:color w:val="000000"/>
              </w:rPr>
            </w:pPr>
            <w:r>
              <w:rPr>
                <w:rFonts w:ascii="Times New Roman" w:eastAsia="Times New Roman" w:hAnsi="Times New Roman" w:cs="Times New Roman"/>
                <w:color w:val="000000"/>
                <w:szCs w:val="20"/>
              </w:rPr>
              <w:t>- Approve additional funding for Heal</w:t>
            </w:r>
            <w:r>
              <w:rPr>
                <w:rFonts w:ascii="Times New Roman" w:eastAsia="Times New Roman" w:hAnsi="Times New Roman" w:cs="Times New Roman"/>
                <w:color w:val="000000"/>
                <w:szCs w:val="20"/>
              </w:rPr>
              <w:t>th programme based on expression of interest by the programme operator.</w:t>
            </w:r>
          </w:p>
        </w:tc>
      </w:tr>
      <w:tr w:rsidR="00A37E99">
        <w:trPr>
          <w:tblCellSpacing w:w="15" w:type="dxa"/>
          <w:jc w:val="center"/>
        </w:trPr>
        <w:tc>
          <w:tcPr>
            <w:tcW w:w="42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lastRenderedPageBreak/>
              <w:t>Preparation of the Annual Strategic Report 2022</w:t>
            </w:r>
          </w:p>
        </w:tc>
        <w:tc>
          <w:tcPr>
            <w:tcW w:w="96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February – March 2023</w:t>
            </w:r>
          </w:p>
        </w:tc>
        <w:tc>
          <w:tcPr>
            <w:tcW w:w="4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Cs w:val="20"/>
              </w:rPr>
              <w:t>Approval of the Annual Strategic Report 2022 by the JCBF.</w:t>
            </w:r>
          </w:p>
        </w:tc>
      </w:tr>
    </w:tbl>
    <w:p w:rsidR="00A37E99" w:rsidRDefault="00E74D2D">
      <w:pPr>
        <w:spacing w:before="240" w:after="240"/>
      </w:pPr>
      <w:r>
        <w:t> </w:t>
      </w:r>
    </w:p>
    <w:p w:rsidR="00A37E99" w:rsidRDefault="00E74D2D">
      <w:pPr>
        <w:spacing w:before="240" w:after="240"/>
        <w:jc w:val="both"/>
      </w:pPr>
      <w:r>
        <w:rPr>
          <w:rFonts w:ascii="Times New Roman" w:eastAsia="Times New Roman" w:hAnsi="Times New Roman" w:cs="Times New Roman"/>
          <w:sz w:val="22"/>
        </w:rPr>
        <w:t xml:space="preserve">Since the outbreak of russia’s invasion in Ukraine, </w:t>
      </w:r>
      <w:r>
        <w:rPr>
          <w:rFonts w:ascii="Times New Roman" w:eastAsia="Times New Roman" w:hAnsi="Times New Roman" w:cs="Times New Roman"/>
          <w:sz w:val="22"/>
        </w:rPr>
        <w:t>the NFP’s and JCBF’s all year activities largely revolved on efforts to address the refugee crisis in Lithuania as Donor States deemed the FBR as the most appropriate source to fund such purpose. Accordingly, the NFP analysed the funding needs and determin</w:t>
      </w:r>
      <w:r>
        <w:rPr>
          <w:rFonts w:ascii="Times New Roman" w:eastAsia="Times New Roman" w:hAnsi="Times New Roman" w:cs="Times New Roman"/>
          <w:sz w:val="22"/>
        </w:rPr>
        <w:t>ed that since the humanitarian refugee needs were significantly addressed by the NGOs, volunteers and public authorities, more efforts could be focused in funding Ukrainian diaspora projects with a bottom-up approach. In cooperation with Open Lithuania Fou</w:t>
      </w:r>
      <w:r>
        <w:rPr>
          <w:rFonts w:ascii="Times New Roman" w:eastAsia="Times New Roman" w:hAnsi="Times New Roman" w:cs="Times New Roman"/>
          <w:sz w:val="22"/>
        </w:rPr>
        <w:t>ndation – programme operator of the Civil Society programme, an initiative group of local Ukrainian refugees and Lithuanians was formed. As a result, three project ideas were developed and later approved by the JCBF (total funding for 3 projects – EUR 367,</w:t>
      </w:r>
      <w:r>
        <w:rPr>
          <w:rFonts w:ascii="Times New Roman" w:eastAsia="Times New Roman" w:hAnsi="Times New Roman" w:cs="Times New Roman"/>
          <w:sz w:val="22"/>
        </w:rPr>
        <w:t>500). More information about the projects, their aim and main activities can be found in part 3 of the strategic report.</w:t>
      </w:r>
    </w:p>
    <w:p w:rsidR="00A37E99" w:rsidRDefault="00E74D2D">
      <w:pPr>
        <w:spacing w:before="240" w:after="240"/>
        <w:jc w:val="both"/>
      </w:pPr>
      <w:r>
        <w:rPr>
          <w:rFonts w:ascii="Times New Roman" w:eastAsia="Times New Roman" w:hAnsi="Times New Roman" w:cs="Times New Roman"/>
          <w:sz w:val="22"/>
        </w:rPr>
        <w:t xml:space="preserve">The strategic areas for bilateral cooperation agreed by the JCBF were supplemented by the Ukrainian refugee needs and currently are as </w:t>
      </w:r>
      <w:r>
        <w:rPr>
          <w:rFonts w:ascii="Times New Roman" w:eastAsia="Times New Roman" w:hAnsi="Times New Roman" w:cs="Times New Roman"/>
          <w:sz w:val="22"/>
        </w:rPr>
        <w:t>follows: cooperation between municipalities in the field of cultural heritage; sharing best practices between institutions and/or relevant organisations in the sphere of innovation (investment approach in social investment area, social innovations in busin</w:t>
      </w:r>
      <w:r>
        <w:rPr>
          <w:rFonts w:ascii="Times New Roman" w:eastAsia="Times New Roman" w:hAnsi="Times New Roman" w:cs="Times New Roman"/>
          <w:sz w:val="22"/>
        </w:rPr>
        <w:t xml:space="preserve">ess, services delivery sector, health technology assessment), children’s rights and human rights, equal opportunities, cooperation between the Lithuanian and Norwegian municipalities in the field of entrepreneurship, Ukrainian refugee needs. </w:t>
      </w:r>
    </w:p>
    <w:p w:rsidR="00A37E99" w:rsidRDefault="00E74D2D">
      <w:pPr>
        <w:spacing w:before="240" w:after="240"/>
        <w:jc w:val="both"/>
      </w:pPr>
      <w:r>
        <w:rPr>
          <w:rFonts w:ascii="Times New Roman" w:eastAsia="Times New Roman" w:hAnsi="Times New Roman" w:cs="Times New Roman"/>
          <w:i/>
          <w:iCs/>
          <w:sz w:val="21"/>
          <w:szCs w:val="21"/>
        </w:rPr>
        <w:t xml:space="preserve">Table 3. The </w:t>
      </w:r>
      <w:r>
        <w:rPr>
          <w:rFonts w:ascii="Times New Roman" w:eastAsia="Times New Roman" w:hAnsi="Times New Roman" w:cs="Times New Roman"/>
          <w:i/>
          <w:iCs/>
          <w:sz w:val="21"/>
          <w:szCs w:val="21"/>
        </w:rPr>
        <w:t>List of the BR Initiatives Approved by the JCBF (N.B. BR Initiatives marked in green are already completed):</w:t>
      </w:r>
    </w:p>
    <w:tbl>
      <w:tblPr>
        <w:tblW w:w="7485"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580"/>
        <w:gridCol w:w="1531"/>
        <w:gridCol w:w="1532"/>
        <w:gridCol w:w="1532"/>
        <w:gridCol w:w="1370"/>
        <w:gridCol w:w="1702"/>
      </w:tblGrid>
      <w:tr w:rsidR="00A37E99">
        <w:trPr>
          <w:trHeight w:val="270"/>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b/>
                <w:bCs/>
                <w:color w:val="000000"/>
                <w:szCs w:val="20"/>
              </w:rPr>
              <w:t>No</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Title</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Implementing entity</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Partner(s)</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Allocation, EUR</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Implementation period</w:t>
            </w:r>
          </w:p>
        </w:tc>
      </w:tr>
      <w:tr w:rsidR="00A37E99">
        <w:trPr>
          <w:trHeight w:val="4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1</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Exchange of Experience in Investment Approach in the Social </w:t>
            </w:r>
            <w:r>
              <w:rPr>
                <w:rFonts w:ascii="Times New Roman" w:eastAsia="Times New Roman" w:hAnsi="Times New Roman" w:cs="Times New Roman"/>
                <w:color w:val="000000"/>
                <w:szCs w:val="20"/>
              </w:rPr>
              <w:t xml:space="preserve">Investment </w:t>
            </w:r>
            <w:r>
              <w:rPr>
                <w:rFonts w:ascii="Times New Roman" w:eastAsia="Times New Roman" w:hAnsi="Times New Roman" w:cs="Times New Roman"/>
                <w:color w:val="000000"/>
                <w:szCs w:val="20"/>
              </w:rPr>
              <w:lastRenderedPageBreak/>
              <w:t>Area</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lastRenderedPageBreak/>
              <w:t>CPMA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Norwegian Ministry of Justice and Public Security, MoF of the </w:t>
            </w:r>
            <w:r>
              <w:rPr>
                <w:rFonts w:ascii="Times New Roman" w:eastAsia="Times New Roman" w:hAnsi="Times New Roman" w:cs="Times New Roman"/>
                <w:color w:val="000000"/>
                <w:szCs w:val="20"/>
              </w:rPr>
              <w:lastRenderedPageBreak/>
              <w:t>Republic of Lithuania</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lastRenderedPageBreak/>
              <w:t>40,000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3-4 Q of 2019</w:t>
            </w:r>
          </w:p>
        </w:tc>
      </w:tr>
      <w:tr w:rsidR="00A37E99">
        <w:trPr>
          <w:trHeight w:val="780"/>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lastRenderedPageBreak/>
              <w:t>2</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Promotion of Social Innovations Related to Welfare Technologies: Pre-Study on Bilateral Opportunities in the Welfare Sector</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Agency for Science, Innovation and Technology (ASIT)</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Innovation Norway</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15,999.07</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ind w:left="108" w:right="108"/>
              <w:jc w:val="center"/>
              <w:rPr>
                <w:color w:val="000000"/>
              </w:rPr>
            </w:pPr>
            <w:r>
              <w:rPr>
                <w:rFonts w:ascii="Times New Roman" w:eastAsia="Times New Roman" w:hAnsi="Times New Roman" w:cs="Times New Roman"/>
                <w:color w:val="000000"/>
                <w:szCs w:val="20"/>
              </w:rPr>
              <w:t>1 Q of 2019 – 3 Q of 2020</w:t>
            </w:r>
          </w:p>
          <w:p w:rsidR="00A37E99" w:rsidRDefault="00E74D2D">
            <w:pPr>
              <w:spacing w:before="240" w:after="0"/>
              <w:ind w:left="108" w:right="108"/>
              <w:jc w:val="center"/>
              <w:rPr>
                <w:color w:val="000000"/>
              </w:rPr>
            </w:pPr>
            <w:r>
              <w:rPr>
                <w:rFonts w:ascii="Times New Roman" w:eastAsia="Times New Roman" w:hAnsi="Times New Roman" w:cs="Times New Roman"/>
                <w:color w:val="000000"/>
                <w:szCs w:val="20"/>
              </w:rPr>
              <w:t>(was prolonged upon request of the initiative promoter)</w:t>
            </w:r>
          </w:p>
        </w:tc>
      </w:tr>
      <w:tr w:rsidR="00A37E99">
        <w:trPr>
          <w:trHeight w:val="420"/>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3</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Improvement of the Lithuanian Innovation System</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ASIT</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Innovation Norway</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34,568.12</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3 Q of </w:t>
            </w:r>
            <w:r>
              <w:rPr>
                <w:rFonts w:ascii="Times New Roman" w:eastAsia="Times New Roman" w:hAnsi="Times New Roman" w:cs="Times New Roman"/>
                <w:color w:val="000000"/>
                <w:szCs w:val="20"/>
              </w:rPr>
              <w:t>2019 –     2 Q of 2022</w:t>
            </w:r>
            <w:r>
              <w:rPr>
                <w:rFonts w:ascii="Times New Roman" w:eastAsia="Times New Roman" w:hAnsi="Times New Roman" w:cs="Times New Roman"/>
                <w:color w:val="000000"/>
                <w:szCs w:val="20"/>
              </w:rPr>
              <w:br/>
              <w:t>(prolonged by the request of the initiative promoter)</w:t>
            </w:r>
          </w:p>
        </w:tc>
      </w:tr>
      <w:tr w:rsidR="00A37E99">
        <w:trPr>
          <w:trHeight w:val="64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4</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Protection of the Rights of the Child</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Ministry of Social Security and Labour of the Republic of Lithuania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Icelandic Government Agency for Child Protection;</w:t>
            </w:r>
            <w:r>
              <w:rPr>
                <w:rFonts w:ascii="Times New Roman" w:eastAsia="Times New Roman" w:hAnsi="Times New Roman" w:cs="Times New Roman"/>
                <w:color w:val="000000"/>
                <w:szCs w:val="20"/>
              </w:rPr>
              <w:br/>
              <w:t xml:space="preserve">State Children’s </w:t>
            </w:r>
            <w:r>
              <w:rPr>
                <w:rFonts w:ascii="Times New Roman" w:eastAsia="Times New Roman" w:hAnsi="Times New Roman" w:cs="Times New Roman"/>
                <w:color w:val="000000"/>
                <w:szCs w:val="20"/>
              </w:rPr>
              <w:t>Rights Protection and Adoption Service under the MoSSL of the Republic of Lithuania</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21,959</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ind w:left="108" w:right="108"/>
              <w:jc w:val="center"/>
              <w:rPr>
                <w:color w:val="000000"/>
              </w:rPr>
            </w:pPr>
            <w:r>
              <w:rPr>
                <w:rFonts w:ascii="Times New Roman" w:eastAsia="Times New Roman" w:hAnsi="Times New Roman" w:cs="Times New Roman"/>
                <w:color w:val="000000"/>
                <w:szCs w:val="20"/>
              </w:rPr>
              <w:t>2 Q of 2019 –4 Q of 2020</w:t>
            </w:r>
          </w:p>
          <w:p w:rsidR="00A37E99" w:rsidRDefault="00E74D2D">
            <w:pPr>
              <w:spacing w:before="240" w:after="0"/>
              <w:ind w:left="108" w:right="108"/>
              <w:jc w:val="center"/>
              <w:rPr>
                <w:color w:val="000000"/>
              </w:rPr>
            </w:pPr>
            <w:r>
              <w:rPr>
                <w:rFonts w:ascii="Times New Roman" w:eastAsia="Times New Roman" w:hAnsi="Times New Roman" w:cs="Times New Roman"/>
                <w:color w:val="000000"/>
                <w:szCs w:val="20"/>
              </w:rPr>
              <w:t>(was prolonged upon request of the initiative promoter)</w:t>
            </w:r>
          </w:p>
        </w:tc>
      </w:tr>
      <w:tr w:rsidR="00A37E99">
        <w:trPr>
          <w:trHeight w:val="1290"/>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5</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Cycle of Events "Cultural Routes as a Tool for Promoting Regional Development"</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Ministry of Culture of the Republic of Lithuania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Norwegian Directorate for Cultural Heritage, Norwegian Association of Municipalities, Arts Council Norway; Lithuanian Directorate for Cultural Heritage, Lithuanian Council for Culture, Association of Local A</w:t>
            </w:r>
            <w:r>
              <w:rPr>
                <w:rFonts w:ascii="Times New Roman" w:eastAsia="Times New Roman" w:hAnsi="Times New Roman" w:cs="Times New Roman"/>
                <w:color w:val="000000"/>
                <w:szCs w:val="20"/>
              </w:rPr>
              <w:t xml:space="preserve">uthorities in </w:t>
            </w:r>
            <w:r>
              <w:rPr>
                <w:rFonts w:ascii="Times New Roman" w:eastAsia="Times New Roman" w:hAnsi="Times New Roman" w:cs="Times New Roman"/>
                <w:color w:val="000000"/>
                <w:szCs w:val="20"/>
              </w:rPr>
              <w:lastRenderedPageBreak/>
              <w:t>Lithuania, College of Cultural Self-Government</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lastRenderedPageBreak/>
              <w:t>34,640.77</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ind w:left="108" w:right="108"/>
              <w:jc w:val="center"/>
              <w:rPr>
                <w:color w:val="000000"/>
              </w:rPr>
            </w:pPr>
            <w:r>
              <w:rPr>
                <w:rFonts w:ascii="Times New Roman" w:eastAsia="Times New Roman" w:hAnsi="Times New Roman" w:cs="Times New Roman"/>
                <w:color w:val="000000"/>
                <w:szCs w:val="20"/>
              </w:rPr>
              <w:t>2 Q of 2019 – 1 Q of 2020</w:t>
            </w:r>
          </w:p>
          <w:p w:rsidR="00A37E99" w:rsidRDefault="00E74D2D">
            <w:pPr>
              <w:spacing w:before="240" w:after="0"/>
              <w:ind w:left="108" w:right="108"/>
              <w:jc w:val="center"/>
              <w:rPr>
                <w:color w:val="000000"/>
              </w:rPr>
            </w:pPr>
            <w:r>
              <w:rPr>
                <w:rFonts w:ascii="Times New Roman" w:eastAsia="Times New Roman" w:hAnsi="Times New Roman" w:cs="Times New Roman"/>
                <w:color w:val="000000"/>
                <w:szCs w:val="20"/>
              </w:rPr>
              <w:t>(was prolonged upon request of the initiative promoter)</w:t>
            </w:r>
          </w:p>
        </w:tc>
      </w:tr>
      <w:tr w:rsidR="00A37E99">
        <w:trPr>
          <w:trHeight w:val="600"/>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lastRenderedPageBreak/>
              <w:t>6</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Baltic Pride 2019: Promoting LGBT* Human Rights through the Norwegian-Baltic Cooperation</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National </w:t>
            </w:r>
            <w:r>
              <w:rPr>
                <w:rFonts w:ascii="Times New Roman" w:eastAsia="Times New Roman" w:hAnsi="Times New Roman" w:cs="Times New Roman"/>
                <w:color w:val="000000"/>
                <w:szCs w:val="20"/>
              </w:rPr>
              <w:t>LGBT* Rights Association LGL</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Oslo Pride; Association of LGBT and their friends Mozaika; Estonian LGBT Association</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41,000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1-4 Q of 2019</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7</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Strengthening the Assessment of Public Health Interventions through the Norwegian-Lithuanian Cooperation</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Institute of </w:t>
            </w:r>
            <w:r>
              <w:rPr>
                <w:rFonts w:ascii="Times New Roman" w:eastAsia="Times New Roman" w:hAnsi="Times New Roman" w:cs="Times New Roman"/>
                <w:color w:val="000000"/>
                <w:szCs w:val="20"/>
              </w:rPr>
              <w:t>Hygiene</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Norwegian Institute of Public Health;</w:t>
            </w:r>
            <w:r>
              <w:rPr>
                <w:rFonts w:ascii="Times New Roman" w:eastAsia="Times New Roman" w:hAnsi="Times New Roman" w:cs="Times New Roman"/>
                <w:color w:val="000000"/>
                <w:szCs w:val="20"/>
              </w:rPr>
              <w:br/>
              <w:t>Lithuanian University of Health Sciences</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57,487.72</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 Q of 2019 – 4 Q of 2021</w:t>
            </w:r>
            <w:r>
              <w:rPr>
                <w:rFonts w:ascii="Times New Roman" w:eastAsia="Times New Roman" w:hAnsi="Times New Roman" w:cs="Times New Roman"/>
                <w:color w:val="000000"/>
                <w:szCs w:val="20"/>
              </w:rPr>
              <w:br/>
              <w:t>(prolonged upon request of the initiative promoter)</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8</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The Creation of International Synergies in Correctional Service Area</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Ministry </w:t>
            </w:r>
            <w:r>
              <w:rPr>
                <w:rFonts w:ascii="Times New Roman" w:eastAsia="Times New Roman" w:hAnsi="Times New Roman" w:cs="Times New Roman"/>
                <w:color w:val="000000"/>
                <w:szCs w:val="20"/>
              </w:rPr>
              <w:t>of Justice of the Republic of Lithuania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Directorate of Norwegian Correctional Service;</w:t>
            </w:r>
            <w:r>
              <w:rPr>
                <w:rFonts w:ascii="Times New Roman" w:eastAsia="Times New Roman" w:hAnsi="Times New Roman" w:cs="Times New Roman"/>
                <w:color w:val="000000"/>
                <w:szCs w:val="20"/>
              </w:rPr>
              <w:br/>
              <w:t>Prison Department under the Ministry of Justice of the Republic of Lithuania;</w:t>
            </w:r>
            <w:r>
              <w:rPr>
                <w:rFonts w:ascii="Times New Roman" w:eastAsia="Times New Roman" w:hAnsi="Times New Roman" w:cs="Times New Roman"/>
                <w:color w:val="000000"/>
                <w:szCs w:val="20"/>
              </w:rPr>
              <w:br/>
              <w:t>Training Centre Under the Prison Department</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146,988</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 Q of 2020 – 2 Q of 2025</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9</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#HATEFREE:</w:t>
            </w:r>
            <w:r>
              <w:rPr>
                <w:rFonts w:ascii="Times New Roman" w:eastAsia="Times New Roman" w:hAnsi="Times New Roman" w:cs="Times New Roman"/>
                <w:color w:val="000000"/>
                <w:szCs w:val="20"/>
              </w:rPr>
              <w:t xml:space="preserve"> Strengthening Bilateral Cooperation Between Norway and Lithuania in Tackling Hate Speech and Promoting Equal Opportunities</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Office of the Equal Opportunities Ombudsperson of the Republic of Lithuania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Royal Norwegian Embassy in Vilnius;</w:t>
            </w:r>
            <w:r>
              <w:rPr>
                <w:rFonts w:ascii="Times New Roman" w:eastAsia="Times New Roman" w:hAnsi="Times New Roman" w:cs="Times New Roman"/>
                <w:color w:val="000000"/>
                <w:szCs w:val="20"/>
              </w:rPr>
              <w:br/>
              <w:t>Public institution N</w:t>
            </w:r>
            <w:r>
              <w:rPr>
                <w:rFonts w:ascii="Times New Roman" w:eastAsia="Times New Roman" w:hAnsi="Times New Roman" w:cs="Times New Roman"/>
                <w:color w:val="000000"/>
                <w:szCs w:val="20"/>
              </w:rPr>
              <w:t>omoshiti Initiative</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79,345.94</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 Q of 2021 –     2 Q of 2022</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lastRenderedPageBreak/>
              <w:t>10</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Leadership Conference “reFOCUS” for business executives and decision makers</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ISM University of Management and Economics</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Royal Norwegian Embassy in Vilnius;</w:t>
            </w:r>
            <w:r>
              <w:rPr>
                <w:rFonts w:ascii="Times New Roman" w:eastAsia="Times New Roman" w:hAnsi="Times New Roman" w:cs="Times New Roman"/>
                <w:color w:val="000000"/>
                <w:szCs w:val="20"/>
              </w:rPr>
              <w:br/>
              <w:t xml:space="preserve">Lithuanian-Norwegian Chamber of </w:t>
            </w:r>
            <w:r>
              <w:rPr>
                <w:rFonts w:ascii="Times New Roman" w:eastAsia="Times New Roman" w:hAnsi="Times New Roman" w:cs="Times New Roman"/>
                <w:color w:val="000000"/>
                <w:szCs w:val="20"/>
              </w:rPr>
              <w:t>Commerce;</w:t>
            </w:r>
            <w:r>
              <w:rPr>
                <w:rFonts w:ascii="Times New Roman" w:eastAsia="Times New Roman" w:hAnsi="Times New Roman" w:cs="Times New Roman"/>
                <w:color w:val="000000"/>
                <w:szCs w:val="20"/>
              </w:rPr>
              <w:br/>
              <w:t>Norwegian-Lithuanian Chamber of Commerce</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36,479</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 Q of 2021 – 2 / 3 Q of 2021</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11</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Mainstreaming equal opportunities in twin cities (Vilnius-Oslo)</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National LGBT Rights Association LGL</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Oslo City Municipality;</w:t>
            </w:r>
            <w:r>
              <w:rPr>
                <w:rFonts w:ascii="Times New Roman" w:eastAsia="Times New Roman" w:hAnsi="Times New Roman" w:cs="Times New Roman"/>
                <w:color w:val="000000"/>
                <w:szCs w:val="20"/>
              </w:rPr>
              <w:br/>
              <w:t>Vilnius City Municipality;</w:t>
            </w:r>
            <w:r>
              <w:rPr>
                <w:rFonts w:ascii="Times New Roman" w:eastAsia="Times New Roman" w:hAnsi="Times New Roman" w:cs="Times New Roman"/>
                <w:color w:val="000000"/>
                <w:szCs w:val="20"/>
              </w:rPr>
              <w:br/>
              <w:t xml:space="preserve">Lithuanian </w:t>
            </w:r>
            <w:r>
              <w:rPr>
                <w:rFonts w:ascii="Times New Roman" w:eastAsia="Times New Roman" w:hAnsi="Times New Roman" w:cs="Times New Roman"/>
                <w:color w:val="000000"/>
                <w:szCs w:val="20"/>
              </w:rPr>
              <w:t>Diversity Charter</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149,060.03</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2 Q of 2021 – 4Q 2022 </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12</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Strengthening the Capacities for Evaluation of Public Health Programs Implemented in Lithuania Through Norwegian-Lithuanian Cooperation</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Institute of Hygiene (Lithuania)</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Lithuanian University of Health</w:t>
            </w:r>
            <w:r>
              <w:rPr>
                <w:rFonts w:ascii="Times New Roman" w:eastAsia="Times New Roman" w:hAnsi="Times New Roman" w:cs="Times New Roman"/>
                <w:color w:val="000000"/>
                <w:szCs w:val="20"/>
              </w:rPr>
              <w:t xml:space="preserve"> Sciences (Lithuania);</w:t>
            </w:r>
            <w:r>
              <w:rPr>
                <w:rFonts w:ascii="Times New Roman" w:eastAsia="Times New Roman" w:hAnsi="Times New Roman" w:cs="Times New Roman"/>
                <w:color w:val="000000"/>
                <w:szCs w:val="20"/>
              </w:rPr>
              <w:br/>
              <w:t>Norwegian Institute of Public Health (Norway);</w:t>
            </w:r>
            <w:r>
              <w:rPr>
                <w:rFonts w:ascii="Times New Roman" w:eastAsia="Times New Roman" w:hAnsi="Times New Roman" w:cs="Times New Roman"/>
                <w:color w:val="000000"/>
                <w:szCs w:val="20"/>
              </w:rPr>
              <w:br/>
              <w:t>Regional Centre for Child and Youth Mental Health and Child Welfare (Norway)</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90,000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 Q 2022 – 4 Q 2024</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13</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UA+LT= TULA. Mutual integration of Lithuanian and Ukrainian families</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 xml:space="preserve">NGO </w:t>
            </w:r>
            <w:r>
              <w:rPr>
                <w:rFonts w:ascii="Times New Roman" w:eastAsia="Times New Roman" w:hAnsi="Times New Roman" w:cs="Times New Roman"/>
                <w:color w:val="000000"/>
                <w:szCs w:val="20"/>
              </w:rPr>
              <w:t>social change incubator “Domus solis”</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NGO Open Khata (UA);</w:t>
            </w:r>
            <w:r>
              <w:rPr>
                <w:rFonts w:ascii="Times New Roman" w:eastAsia="Times New Roman" w:hAnsi="Times New Roman" w:cs="Times New Roman"/>
                <w:color w:val="000000"/>
                <w:szCs w:val="20"/>
              </w:rPr>
              <w:br/>
              <w:t>NGO Zorelovy (UA);</w:t>
            </w:r>
            <w:r>
              <w:rPr>
                <w:rFonts w:ascii="Times New Roman" w:eastAsia="Times New Roman" w:hAnsi="Times New Roman" w:cs="Times New Roman"/>
                <w:color w:val="000000"/>
                <w:szCs w:val="20"/>
              </w:rPr>
              <w:br/>
              <w:t>NGO Kaunas School “Atradimai” (LT);</w:t>
            </w:r>
            <w:r>
              <w:rPr>
                <w:rFonts w:ascii="Times New Roman" w:eastAsia="Times New Roman" w:hAnsi="Times New Roman" w:cs="Times New Roman"/>
                <w:color w:val="000000"/>
                <w:szCs w:val="20"/>
              </w:rPr>
              <w:br/>
              <w:t>NGO “Varnų sala“ (LT);</w:t>
            </w:r>
            <w:r>
              <w:rPr>
                <w:rFonts w:ascii="Times New Roman" w:eastAsia="Times New Roman" w:hAnsi="Times New Roman" w:cs="Times New Roman"/>
                <w:color w:val="000000"/>
                <w:szCs w:val="20"/>
              </w:rPr>
              <w:br/>
              <w:t>Vilnius Kunigaikštis Gedminas Progymnasium (LT);</w:t>
            </w:r>
            <w:r>
              <w:rPr>
                <w:rFonts w:ascii="Times New Roman" w:eastAsia="Times New Roman" w:hAnsi="Times New Roman" w:cs="Times New Roman"/>
                <w:color w:val="000000"/>
                <w:szCs w:val="20"/>
              </w:rPr>
              <w:br/>
              <w:t xml:space="preserve">NGO </w:t>
            </w:r>
            <w:r>
              <w:rPr>
                <w:rFonts w:ascii="Times New Roman" w:eastAsia="Times New Roman" w:hAnsi="Times New Roman" w:cs="Times New Roman"/>
                <w:color w:val="000000"/>
                <w:szCs w:val="20"/>
              </w:rPr>
              <w:lastRenderedPageBreak/>
              <w:t>“Interstela” (LT).</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lastRenderedPageBreak/>
              <w:t>184,700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2 Q 2022 – 3 Q 2023</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lastRenderedPageBreak/>
              <w:t>14</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A new format of</w:t>
            </w:r>
            <w:r>
              <w:rPr>
                <w:rFonts w:ascii="Times New Roman" w:eastAsia="Times New Roman" w:hAnsi="Times New Roman" w:cs="Times New Roman"/>
                <w:color w:val="000000"/>
                <w:szCs w:val="20"/>
              </w:rPr>
              <w:t xml:space="preserve"> education for Lithuanian- Ukrainian classes</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Vilnius University of Applied Sciences (VIKO)</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140,000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3 Q 2022 – 3 Q 2023</w:t>
            </w:r>
          </w:p>
        </w:tc>
      </w:tr>
      <w:tr w:rsidR="00A37E99">
        <w:trPr>
          <w:trHeight w:val="70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Cs w:val="20"/>
              </w:rPr>
              <w:t>15</w:t>
            </w:r>
          </w:p>
        </w:tc>
        <w:tc>
          <w:tcPr>
            <w:tcW w:w="330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Rethink Ukraine</w:t>
            </w:r>
          </w:p>
        </w:tc>
        <w:tc>
          <w:tcPr>
            <w:tcW w:w="20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VšĮ Civic Initiatives</w:t>
            </w:r>
          </w:p>
        </w:tc>
        <w:tc>
          <w:tcPr>
            <w:tcW w:w="41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ind w:left="108" w:right="108"/>
              <w:jc w:val="center"/>
              <w:rPr>
                <w:color w:val="000000"/>
              </w:rPr>
            </w:pPr>
            <w:r>
              <w:rPr>
                <w:rFonts w:ascii="Times New Roman" w:eastAsia="Times New Roman" w:hAnsi="Times New Roman" w:cs="Times New Roman"/>
                <w:color w:val="000000"/>
                <w:szCs w:val="20"/>
              </w:rPr>
              <w:t>Public association “Integral Institute for Integral Development” (Ukraine);</w:t>
            </w:r>
            <w:r>
              <w:rPr>
                <w:rFonts w:ascii="Times New Roman" w:eastAsia="Times New Roman" w:hAnsi="Times New Roman" w:cs="Times New Roman"/>
                <w:color w:val="000000"/>
                <w:szCs w:val="20"/>
              </w:rPr>
              <w:br/>
              <w:t xml:space="preserve">VšĮ Open </w:t>
            </w:r>
            <w:r>
              <w:rPr>
                <w:rFonts w:ascii="Times New Roman" w:eastAsia="Times New Roman" w:hAnsi="Times New Roman" w:cs="Times New Roman"/>
                <w:color w:val="000000"/>
                <w:szCs w:val="20"/>
              </w:rPr>
              <w:t>Lithuania Foundation</w:t>
            </w:r>
          </w:p>
          <w:p w:rsidR="00A37E99" w:rsidRDefault="00E74D2D">
            <w:pPr>
              <w:spacing w:before="240" w:after="0"/>
              <w:ind w:left="108" w:right="108"/>
              <w:jc w:val="both"/>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42,800</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color w:val="000000"/>
                <w:szCs w:val="20"/>
              </w:rPr>
              <w:t>1 Q 2023 – 4 Q 2023</w:t>
            </w:r>
          </w:p>
        </w:tc>
      </w:tr>
      <w:tr w:rsidR="00A37E99">
        <w:trPr>
          <w:trHeight w:val="195"/>
          <w:tblCellSpacing w:w="15" w:type="dxa"/>
        </w:trPr>
        <w:tc>
          <w:tcPr>
            <w:tcW w:w="48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Style w:val="tddiv"/>
              <w:spacing w:after="0"/>
              <w:ind w:left="108" w:right="108"/>
              <w:rPr>
                <w:color w:val="000000"/>
              </w:rPr>
            </w:pPr>
            <w:r>
              <w:rPr>
                <w:color w:val="000000"/>
              </w:rPr>
              <w:t> </w:t>
            </w:r>
          </w:p>
        </w:tc>
        <w:tc>
          <w:tcPr>
            <w:tcW w:w="9405" w:type="dxa"/>
            <w:gridSpan w:val="3"/>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Total:</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center"/>
              <w:rPr>
                <w:color w:val="000000"/>
              </w:rPr>
            </w:pPr>
            <w:r>
              <w:rPr>
                <w:rFonts w:ascii="Times New Roman" w:eastAsia="Times New Roman" w:hAnsi="Times New Roman" w:cs="Times New Roman"/>
                <w:b/>
                <w:bCs/>
                <w:color w:val="000000"/>
                <w:szCs w:val="20"/>
              </w:rPr>
              <w:t>1,115,027.65</w:t>
            </w:r>
          </w:p>
        </w:tc>
        <w:tc>
          <w:tcPr>
            <w:tcW w:w="282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Style w:val="tddiv"/>
              <w:spacing w:after="0"/>
              <w:ind w:left="108" w:right="108"/>
              <w:rPr>
                <w:color w:val="000000"/>
              </w:rPr>
            </w:pPr>
            <w:r>
              <w:rPr>
                <w:color w:val="000000"/>
              </w:rPr>
              <w:t> </w:t>
            </w:r>
          </w:p>
        </w:tc>
      </w:tr>
    </w:tbl>
    <w:p w:rsidR="00A37E99" w:rsidRDefault="00E74D2D">
      <w:pPr>
        <w:spacing w:before="240" w:after="240"/>
      </w:pPr>
      <w:r>
        <w:t> </w:t>
      </w:r>
    </w:p>
    <w:p w:rsidR="00A37E99" w:rsidRDefault="00E74D2D">
      <w:pPr>
        <w:spacing w:before="240" w:after="240"/>
      </w:pPr>
      <w:r>
        <w:rPr>
          <w:rFonts w:ascii="Times New Roman" w:eastAsia="Times New Roman" w:hAnsi="Times New Roman" w:cs="Times New Roman"/>
          <w:szCs w:val="20"/>
        </w:rPr>
        <w:t>Drawing from Table 3 above, since the outset of the programming period the JCBF has approved 15 pre-defined BR initiatives on the national level. 10 BR initiatives have been already completed and 5 are ongoing. Total funding disbursed to the pre-defined BR</w:t>
      </w:r>
      <w:r>
        <w:rPr>
          <w:rFonts w:ascii="Times New Roman" w:eastAsia="Times New Roman" w:hAnsi="Times New Roman" w:cs="Times New Roman"/>
          <w:szCs w:val="20"/>
        </w:rPr>
        <w:t xml:space="preserve"> initiatives amounts to EUR 1,115,027.65, out of which, according to the most recent estimates, 90% have been already incurred.  </w:t>
      </w:r>
    </w:p>
    <w:p w:rsidR="00A37E99" w:rsidRDefault="00E74D2D">
      <w:pPr>
        <w:spacing w:before="240" w:after="240"/>
      </w:pPr>
      <w:r>
        <w:rPr>
          <w:rFonts w:ascii="Times New Roman" w:eastAsia="Times New Roman" w:hAnsi="Times New Roman" w:cs="Times New Roman"/>
          <w:szCs w:val="20"/>
        </w:rPr>
        <w:t>The distribution of the FBR funding/ allocations outside the programme is/are indicated in Table 5 below.</w:t>
      </w:r>
    </w:p>
    <w:p w:rsidR="00A37E99" w:rsidRDefault="00E74D2D">
      <w:pPr>
        <w:spacing w:before="240" w:after="240"/>
        <w:jc w:val="both"/>
      </w:pPr>
      <w:r>
        <w:rPr>
          <w:rFonts w:ascii="Times New Roman" w:eastAsia="Times New Roman" w:hAnsi="Times New Roman" w:cs="Times New Roman"/>
          <w:i/>
          <w:iCs/>
          <w:szCs w:val="20"/>
        </w:rPr>
        <w:t>Table 5. Work Plan A</w:t>
      </w:r>
      <w:r>
        <w:rPr>
          <w:rFonts w:ascii="Times New Roman" w:eastAsia="Times New Roman" w:hAnsi="Times New Roman" w:cs="Times New Roman"/>
          <w:i/>
          <w:iCs/>
          <w:szCs w:val="20"/>
        </w:rPr>
        <w:t>llocations:</w:t>
      </w:r>
    </w:p>
    <w:tbl>
      <w:tblPr>
        <w:tblW w:w="0" w:type="auto"/>
        <w:jc w:val="center"/>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7700"/>
        <w:gridCol w:w="1506"/>
      </w:tblGrid>
      <w:tr w:rsidR="00A37E99">
        <w:trPr>
          <w:trHeight w:val="345"/>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 w:val="21"/>
                <w:szCs w:val="21"/>
              </w:rPr>
              <w:t>Title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 w:val="21"/>
                <w:szCs w:val="21"/>
              </w:rPr>
              <w:t>Budget,</w:t>
            </w:r>
            <w:r>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b/>
                <w:bCs/>
                <w:color w:val="000000"/>
                <w:sz w:val="21"/>
                <w:szCs w:val="21"/>
              </w:rPr>
              <w:t>EUR</w:t>
            </w:r>
          </w:p>
        </w:tc>
      </w:tr>
      <w:tr w:rsidR="00A37E99">
        <w:trPr>
          <w:trHeight w:val="30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Activities carried out by the NFP</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Calibri" w:eastAsia="Calibri" w:hAnsi="Calibri" w:cs="Calibri"/>
                <w:color w:val="000000"/>
                <w:sz w:val="22"/>
              </w:rPr>
              <w:t> </w:t>
            </w:r>
          </w:p>
        </w:tc>
      </w:tr>
      <w:tr w:rsidR="00A37E99">
        <w:trPr>
          <w:trHeight w:val="6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 xml:space="preserve">Pre-defined activities outside the programmes </w:t>
            </w:r>
            <w:r>
              <w:rPr>
                <w:rFonts w:ascii="Times New Roman" w:eastAsia="Times New Roman" w:hAnsi="Times New Roman" w:cs="Times New Roman"/>
                <w:i/>
                <w:iCs/>
                <w:color w:val="000000"/>
                <w:sz w:val="21"/>
                <w:szCs w:val="21"/>
              </w:rPr>
              <w:t>(total budget for approved pre-defined initiatives by the JCBF)</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1,115,027.65</w:t>
            </w:r>
          </w:p>
        </w:tc>
      </w:tr>
      <w:tr w:rsidR="00A37E99">
        <w:trPr>
          <w:trHeight w:val="285"/>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Funds for programmes (MoU + EoI)</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955,891.55</w:t>
            </w:r>
          </w:p>
        </w:tc>
      </w:tr>
      <w:tr w:rsidR="00A37E99">
        <w:trPr>
          <w:trHeight w:val="6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 xml:space="preserve">Funds still to be </w:t>
            </w:r>
            <w:r>
              <w:rPr>
                <w:rFonts w:ascii="Times New Roman" w:eastAsia="Times New Roman" w:hAnsi="Times New Roman" w:cs="Times New Roman"/>
                <w:color w:val="000000"/>
                <w:sz w:val="21"/>
                <w:szCs w:val="21"/>
              </w:rPr>
              <w:t>allocated for the 2019–2021 period for pre-defined initiatives outside the programmes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0.00</w:t>
            </w:r>
          </w:p>
        </w:tc>
      </w:tr>
      <w:tr w:rsidR="00A37E99">
        <w:trPr>
          <w:trHeight w:val="6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Funds set aside for the 2022–2024 period for pre-defined initiatives outside the programmes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0.00</w:t>
            </w:r>
          </w:p>
        </w:tc>
      </w:tr>
      <w:tr w:rsidR="00A37E99">
        <w:trPr>
          <w:trHeight w:val="6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Funds to be allocated</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283,080.8</w:t>
            </w:r>
          </w:p>
        </w:tc>
      </w:tr>
      <w:tr w:rsidR="00A37E99">
        <w:trPr>
          <w:trHeight w:val="60"/>
          <w:tblCellSpacing w:w="15" w:type="dxa"/>
          <w:jc w:val="center"/>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 w:val="21"/>
                <w:szCs w:val="21"/>
              </w:rPr>
              <w:t>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b/>
                <w:bCs/>
                <w:color w:val="000000"/>
                <w:sz w:val="21"/>
                <w:szCs w:val="21"/>
              </w:rPr>
              <w:t>2,354,000.00</w:t>
            </w:r>
          </w:p>
        </w:tc>
      </w:tr>
    </w:tbl>
    <w:p w:rsidR="00A37E99" w:rsidRDefault="00A37E99">
      <w:pPr>
        <w:rPr>
          <w:rFonts w:ascii="Times New Roman" w:eastAsia="Times New Roman" w:hAnsi="Times New Roman" w:cs="Times New Roman"/>
          <w:i/>
          <w:iCs/>
          <w:szCs w:val="20"/>
        </w:rPr>
      </w:pPr>
    </w:p>
    <w:p w:rsidR="00FD53F5" w:rsidRPr="0004386F" w:rsidRDefault="00E74D2D" w:rsidP="00FD53F5">
      <w:pPr>
        <w:pStyle w:val="Antrat1"/>
        <w:rPr>
          <w:rFonts w:cs="Arial"/>
          <w:szCs w:val="22"/>
        </w:rPr>
      </w:pPr>
      <w:bookmarkStart w:id="14" w:name="_Toc256000012"/>
      <w:r w:rsidRPr="0004386F">
        <w:rPr>
          <w:rFonts w:cs="Arial"/>
          <w:szCs w:val="22"/>
        </w:rPr>
        <w:lastRenderedPageBreak/>
        <w:t>5.</w:t>
      </w:r>
      <w:r w:rsidRPr="0004386F">
        <w:rPr>
          <w:rFonts w:cs="Arial"/>
          <w:szCs w:val="22"/>
        </w:rPr>
        <w:tab/>
      </w:r>
      <w:r w:rsidR="00804D56" w:rsidRPr="0004386F">
        <w:rPr>
          <w:rFonts w:cs="Arial"/>
          <w:szCs w:val="22"/>
        </w:rPr>
        <w:t>Management and implementation</w:t>
      </w:r>
      <w:bookmarkEnd w:id="14"/>
    </w:p>
    <w:p w:rsidR="00A843BC" w:rsidRPr="0038243F" w:rsidRDefault="00E74D2D" w:rsidP="00A843BC">
      <w:pPr>
        <w:pStyle w:val="Antrat2"/>
        <w:rPr>
          <w:rFonts w:cs="Arial"/>
        </w:rPr>
      </w:pPr>
      <w:bookmarkStart w:id="15" w:name="_Toc256000013"/>
      <w:r w:rsidRPr="0038243F">
        <w:rPr>
          <w:rFonts w:cs="Arial"/>
        </w:rPr>
        <w:t>a. Management and control systems (MCS)</w:t>
      </w:r>
      <w:bookmarkEnd w:id="15"/>
    </w:p>
    <w:p w:rsidR="00A37E99" w:rsidRDefault="00E74D2D">
      <w:pPr>
        <w:spacing w:after="240"/>
        <w:jc w:val="both"/>
      </w:pPr>
      <w:r>
        <w:rPr>
          <w:rFonts w:ascii="Times New Roman" w:eastAsia="Times New Roman" w:hAnsi="Times New Roman" w:cs="Times New Roman"/>
          <w:sz w:val="22"/>
        </w:rPr>
        <w:t>In order to ensure the uniform implementation of the requirements for Mechanisms and all the programmes, also taking into account the scope of the programmes and institutional administra</w:t>
      </w:r>
      <w:r>
        <w:rPr>
          <w:rFonts w:ascii="Times New Roman" w:eastAsia="Times New Roman" w:hAnsi="Times New Roman" w:cs="Times New Roman"/>
          <w:sz w:val="22"/>
        </w:rPr>
        <w:t xml:space="preserve">tive experience from the previous funding periods, the National level DMSC of the EEA and Norwegian Financial Mechanisms was approved on 16 December 2019. </w:t>
      </w:r>
    </w:p>
    <w:p w:rsidR="00A37E99" w:rsidRDefault="00E74D2D">
      <w:pPr>
        <w:spacing w:before="240" w:after="240"/>
      </w:pPr>
      <w:r>
        <w:rPr>
          <w:rFonts w:ascii="Times New Roman" w:eastAsia="Times New Roman" w:hAnsi="Times New Roman" w:cs="Times New Roman"/>
          <w:sz w:val="22"/>
        </w:rPr>
        <w:t>Amendments of the National level DMSC of the EEA and Norwegian Financial Mechanisms:</w:t>
      </w:r>
    </w:p>
    <w:p w:rsidR="00A37E99" w:rsidRDefault="00E74D2D">
      <w:pPr>
        <w:numPr>
          <w:ilvl w:val="0"/>
          <w:numId w:val="12"/>
        </w:numPr>
        <w:spacing w:before="240"/>
        <w:ind w:hanging="210"/>
        <w:jc w:val="both"/>
      </w:pPr>
      <w:r>
        <w:rPr>
          <w:rFonts w:ascii="Times New Roman" w:eastAsia="Times New Roman" w:hAnsi="Times New Roman" w:cs="Times New Roman"/>
          <w:sz w:val="22"/>
        </w:rPr>
        <w:t>On 24 April 202</w:t>
      </w:r>
      <w:r>
        <w:rPr>
          <w:rFonts w:ascii="Times New Roman" w:eastAsia="Times New Roman" w:hAnsi="Times New Roman" w:cs="Times New Roman"/>
          <w:sz w:val="22"/>
        </w:rPr>
        <w:t>0 due to the structural changes of the CPMA (the name of the division responsible for the administration of the Bilateral Cooperation Fund has been changed and the subordination of the Law and Quality Control Division moved from the Director of the Interna</w:t>
      </w:r>
      <w:r>
        <w:rPr>
          <w:rFonts w:ascii="Times New Roman" w:eastAsia="Times New Roman" w:hAnsi="Times New Roman" w:cs="Times New Roman"/>
          <w:sz w:val="22"/>
        </w:rPr>
        <w:t>tional Programme Management Department to the Deputy Director). The FMO was informed about these changes on 5 May 2020.</w:t>
      </w:r>
    </w:p>
    <w:p w:rsidR="00A37E99" w:rsidRDefault="00E74D2D">
      <w:pPr>
        <w:numPr>
          <w:ilvl w:val="0"/>
          <w:numId w:val="12"/>
        </w:numPr>
        <w:ind w:hanging="210"/>
        <w:jc w:val="both"/>
      </w:pPr>
      <w:r>
        <w:rPr>
          <w:rFonts w:ascii="Times New Roman" w:eastAsia="Times New Roman" w:hAnsi="Times New Roman" w:cs="Times New Roman"/>
          <w:sz w:val="22"/>
        </w:rPr>
        <w:t>On 23 May 2022 due to the structural changes of the CPMA (the Financial Division in the Lithuanian and International Investment Departme</w:t>
      </w:r>
      <w:r>
        <w:rPr>
          <w:rFonts w:ascii="Times New Roman" w:eastAsia="Times New Roman" w:hAnsi="Times New Roman" w:cs="Times New Roman"/>
          <w:sz w:val="22"/>
        </w:rPr>
        <w:t>nt was abolished, after this the project financiers were transferred to the EEA/NOR division. The independence and functional separation of the staff responsible for verifying expenditure incurred and certifying payments from the other staff responsible fo</w:t>
      </w:r>
      <w:r>
        <w:rPr>
          <w:rFonts w:ascii="Times New Roman" w:eastAsia="Times New Roman" w:hAnsi="Times New Roman" w:cs="Times New Roman"/>
          <w:sz w:val="22"/>
        </w:rPr>
        <w:t>r implementing the programme is ensured by separation of staff subordination). The FMO was informed about these changes on 13 January 2022.</w:t>
      </w:r>
    </w:p>
    <w:p w:rsidR="00A37E99" w:rsidRDefault="00E74D2D">
      <w:pPr>
        <w:numPr>
          <w:ilvl w:val="0"/>
          <w:numId w:val="12"/>
        </w:numPr>
        <w:spacing w:after="240"/>
        <w:ind w:hanging="210"/>
        <w:jc w:val="both"/>
      </w:pPr>
      <w:r>
        <w:rPr>
          <w:rFonts w:ascii="Times New Roman" w:eastAsia="Times New Roman" w:hAnsi="Times New Roman" w:cs="Times New Roman"/>
          <w:sz w:val="22"/>
        </w:rPr>
        <w:t>On 30 January 2023 due to the transfer of PO functions from Agency for Science, Innovation and Technology to the Inn</w:t>
      </w:r>
      <w:r>
        <w:rPr>
          <w:rFonts w:ascii="Times New Roman" w:eastAsia="Times New Roman" w:hAnsi="Times New Roman" w:cs="Times New Roman"/>
          <w:sz w:val="22"/>
        </w:rPr>
        <w:t>ovation Agency (Programme Agreement amendment entered into force on 4 July 2022) and due to a new structure of the NFP (transfer of the evaluation of Programmes function from Fiscal Policy Department of the MoF to Public Investment and Project Evaluation D</w:t>
      </w:r>
      <w:r>
        <w:rPr>
          <w:rFonts w:ascii="Times New Roman" w:eastAsia="Times New Roman" w:hAnsi="Times New Roman" w:cs="Times New Roman"/>
          <w:sz w:val="22"/>
        </w:rPr>
        <w:t>ivision of the MoF).</w:t>
      </w:r>
    </w:p>
    <w:p w:rsidR="00A37E99" w:rsidRDefault="00E74D2D">
      <w:pPr>
        <w:spacing w:before="240" w:after="240"/>
      </w:pPr>
      <w:r>
        <w:rPr>
          <w:rFonts w:ascii="Times New Roman" w:eastAsia="Times New Roman" w:hAnsi="Times New Roman" w:cs="Times New Roman"/>
          <w:sz w:val="22"/>
        </w:rPr>
        <w:t>DMCSs of all programmes (“Culture”, “Health”, “Business Development, Innovation and SMEs”, (“Research”, “Environment, Energy, Climate Change”,” Justice and Home Affairs“) was prepared and reviewed by the AA during the previous reportin</w:t>
      </w:r>
      <w:r>
        <w:rPr>
          <w:rFonts w:ascii="Times New Roman" w:eastAsia="Times New Roman" w:hAnsi="Times New Roman" w:cs="Times New Roman"/>
          <w:sz w:val="22"/>
        </w:rPr>
        <w:t>g periods. The information on DMCS of each programme is provided in the table below:</w:t>
      </w:r>
    </w:p>
    <w:tbl>
      <w:tblPr>
        <w:tblW w:w="2500" w:type="pct"/>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2449"/>
        <w:gridCol w:w="2125"/>
      </w:tblGrid>
      <w:tr w:rsidR="00A37E99">
        <w:tc>
          <w:tcPr>
            <w:tcW w:w="2650" w:type="pct"/>
            <w:tcBorders>
              <w:bottom w:val="inset" w:sz="6" w:space="0" w:color="808080"/>
              <w:right w:val="inset" w:sz="6" w:space="0" w:color="808080"/>
            </w:tcBorders>
            <w:tcMar>
              <w:top w:w="38"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b/>
                <w:bCs/>
                <w:color w:val="000000"/>
                <w:sz w:val="21"/>
                <w:szCs w:val="21"/>
              </w:rPr>
              <w:t>Programme</w:t>
            </w:r>
          </w:p>
        </w:tc>
        <w:tc>
          <w:tcPr>
            <w:tcW w:w="2300" w:type="pct"/>
            <w:tcBorders>
              <w:bottom w:val="inset" w:sz="6" w:space="0" w:color="808080"/>
            </w:tcBorders>
            <w:tcMar>
              <w:top w:w="38"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b/>
                <w:bCs/>
                <w:color w:val="000000"/>
                <w:sz w:val="21"/>
                <w:szCs w:val="21"/>
              </w:rPr>
              <w:t>Unqualified audit opinion</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Culture </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27 November 2019 </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Health </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6 January 2020 </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Business Development, Innovation and SMEs</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6 February 2020</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Research </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16 June 2020</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Environment, Energy, Climate Change</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15 July 2020</w:t>
            </w:r>
          </w:p>
        </w:tc>
      </w:tr>
      <w:tr w:rsidR="00A37E99">
        <w:tc>
          <w:tcPr>
            <w:tcW w:w="2650" w:type="pct"/>
            <w:tcBorders>
              <w:bottom w:val="inset" w:sz="6" w:space="0" w:color="808080"/>
              <w:right w:val="inset" w:sz="6" w:space="0" w:color="808080"/>
            </w:tcBorders>
            <w:tcMar>
              <w:top w:w="20" w:type="dxa"/>
              <w:left w:w="38" w:type="dxa"/>
              <w:bottom w:w="22"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Justice and Home Affairs</w:t>
            </w:r>
          </w:p>
        </w:tc>
        <w:tc>
          <w:tcPr>
            <w:tcW w:w="2300" w:type="pct"/>
            <w:tcBorders>
              <w:bottom w:val="inset" w:sz="6" w:space="0" w:color="808080"/>
            </w:tcBorders>
            <w:tcMar>
              <w:top w:w="20" w:type="dxa"/>
              <w:left w:w="20" w:type="dxa"/>
              <w:bottom w:w="22"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10 July 2020 </w:t>
            </w:r>
          </w:p>
        </w:tc>
      </w:tr>
      <w:tr w:rsidR="00A37E99">
        <w:tc>
          <w:tcPr>
            <w:tcW w:w="2650" w:type="pct"/>
            <w:tcBorders>
              <w:right w:val="inset" w:sz="6" w:space="0" w:color="808080"/>
            </w:tcBorders>
            <w:tcMar>
              <w:top w:w="20" w:type="dxa"/>
              <w:left w:w="38" w:type="dxa"/>
              <w:bottom w:w="38" w:type="dxa"/>
              <w:right w:w="22"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Business Development, Innovation and SMEs</w:t>
            </w:r>
          </w:p>
        </w:tc>
        <w:tc>
          <w:tcPr>
            <w:tcW w:w="2300" w:type="pct"/>
            <w:tcMar>
              <w:top w:w="20" w:type="dxa"/>
              <w:left w:w="20" w:type="dxa"/>
              <w:bottom w:w="38" w:type="dxa"/>
              <w:right w:w="3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1 December 2022</w:t>
            </w:r>
          </w:p>
        </w:tc>
      </w:tr>
    </w:tbl>
    <w:p w:rsidR="00A37E99" w:rsidRDefault="00A37E99">
      <w:pPr>
        <w:rPr>
          <w:rFonts w:ascii="Times New Roman" w:eastAsia="Times New Roman" w:hAnsi="Times New Roman" w:cs="Times New Roman"/>
          <w:sz w:val="22"/>
        </w:rPr>
      </w:pPr>
    </w:p>
    <w:p w:rsidR="00A843BC" w:rsidRPr="0038243F" w:rsidRDefault="00E74D2D" w:rsidP="00A843BC">
      <w:pPr>
        <w:pStyle w:val="Antrat2"/>
        <w:rPr>
          <w:rFonts w:cs="Arial"/>
        </w:rPr>
      </w:pPr>
      <w:bookmarkStart w:id="16" w:name="_Toc256000014"/>
      <w:r w:rsidRPr="0038243F">
        <w:rPr>
          <w:rFonts w:cs="Arial"/>
        </w:rPr>
        <w:t>b. Complaints</w:t>
      </w:r>
      <w:bookmarkEnd w:id="16"/>
    </w:p>
    <w:p w:rsidR="00A37E99" w:rsidRDefault="00E74D2D">
      <w:pPr>
        <w:spacing w:after="240"/>
      </w:pPr>
      <w:r>
        <w:rPr>
          <w:rFonts w:ascii="Times New Roman" w:eastAsia="Times New Roman" w:hAnsi="Times New Roman" w:cs="Times New Roman"/>
          <w:sz w:val="22"/>
        </w:rPr>
        <w:lastRenderedPageBreak/>
        <w:t xml:space="preserve">During the reporting period, no complaints were received regarding the 2014-2021 European </w:t>
      </w:r>
      <w:r>
        <w:rPr>
          <w:rFonts w:ascii="Times New Roman" w:eastAsia="Times New Roman" w:hAnsi="Times New Roman" w:cs="Times New Roman"/>
          <w:sz w:val="22"/>
        </w:rPr>
        <w:t>Economic Area and Norwegian financial mechanisms.</w:t>
      </w:r>
    </w:p>
    <w:p w:rsidR="00A843BC" w:rsidRPr="0038243F" w:rsidRDefault="00E74D2D" w:rsidP="00A843BC">
      <w:pPr>
        <w:pStyle w:val="Antrat2"/>
        <w:rPr>
          <w:rFonts w:cs="Arial"/>
        </w:rPr>
      </w:pPr>
      <w:bookmarkStart w:id="17" w:name="_Toc256000015"/>
      <w:r w:rsidRPr="0038243F">
        <w:rPr>
          <w:rFonts w:cs="Arial"/>
        </w:rPr>
        <w:t>c. Irregularities</w:t>
      </w:r>
      <w:bookmarkEnd w:id="17"/>
    </w:p>
    <w:p w:rsidR="00A37E99" w:rsidRDefault="00E74D2D">
      <w:pPr>
        <w:spacing w:after="240"/>
      </w:pPr>
      <w:r>
        <w:rPr>
          <w:rFonts w:ascii="Times New Roman" w:eastAsia="Times New Roman" w:hAnsi="Times New Roman" w:cs="Times New Roman"/>
          <w:sz w:val="22"/>
        </w:rPr>
        <w:t>During the reporting period from 20 March 2022 to 20 March 2023, seven irregularities in projects were detected, out of which:</w:t>
      </w:r>
    </w:p>
    <w:p w:rsidR="00A37E99" w:rsidRDefault="00E74D2D">
      <w:pPr>
        <w:numPr>
          <w:ilvl w:val="0"/>
          <w:numId w:val="13"/>
        </w:numPr>
        <w:spacing w:before="240"/>
        <w:ind w:hanging="210"/>
        <w:jc w:val="both"/>
      </w:pPr>
      <w:r>
        <w:rPr>
          <w:rFonts w:ascii="Times New Roman" w:eastAsia="Times New Roman" w:hAnsi="Times New Roman" w:cs="Times New Roman"/>
          <w:sz w:val="22"/>
        </w:rPr>
        <w:t>Five minor irregularities, which fell under the provisions of</w:t>
      </w:r>
      <w:r>
        <w:rPr>
          <w:rFonts w:ascii="Times New Roman" w:eastAsia="Times New Roman" w:hAnsi="Times New Roman" w:cs="Times New Roman"/>
          <w:sz w:val="22"/>
        </w:rPr>
        <w:t xml:space="preserve"> Article 12.5 (3) of the Regulations and should be reported only upon request from the FMO;</w:t>
      </w:r>
    </w:p>
    <w:p w:rsidR="00A37E99" w:rsidRDefault="00E74D2D">
      <w:pPr>
        <w:numPr>
          <w:ilvl w:val="0"/>
          <w:numId w:val="13"/>
        </w:numPr>
        <w:ind w:hanging="210"/>
        <w:jc w:val="both"/>
      </w:pPr>
      <w:r>
        <w:rPr>
          <w:rFonts w:ascii="Times New Roman" w:eastAsia="Times New Roman" w:hAnsi="Times New Roman" w:cs="Times New Roman"/>
          <w:sz w:val="22"/>
        </w:rPr>
        <w:t>One irregularity in project No LT01-6S-GP-VI-001 (Bilateral Funds for Programme LT-JUSTICE), which fell under the provisions of Article 12.5 (2) of the Regulations,</w:t>
      </w:r>
      <w:r>
        <w:rPr>
          <w:rFonts w:ascii="Times New Roman" w:eastAsia="Times New Roman" w:hAnsi="Times New Roman" w:cs="Times New Roman"/>
          <w:sz w:val="22"/>
        </w:rPr>
        <w:t xml:space="preserve"> was detected on 13/05/2022 and reported to the FMO on 22/02/2023. The case of the irregularity is related to the expenses of bank account operations and account management fees and the ineligible expenditure related to the irregularity equals to EUR 32.45</w:t>
      </w:r>
      <w:r>
        <w:rPr>
          <w:rFonts w:ascii="Times New Roman" w:eastAsia="Times New Roman" w:hAnsi="Times New Roman" w:cs="Times New Roman"/>
          <w:sz w:val="22"/>
        </w:rPr>
        <w:t>.</w:t>
      </w:r>
    </w:p>
    <w:p w:rsidR="00A37E99" w:rsidRDefault="00E74D2D">
      <w:pPr>
        <w:numPr>
          <w:ilvl w:val="0"/>
          <w:numId w:val="13"/>
        </w:numPr>
        <w:spacing w:after="240"/>
        <w:ind w:hanging="210"/>
        <w:jc w:val="both"/>
      </w:pPr>
      <w:r>
        <w:rPr>
          <w:rFonts w:ascii="Times New Roman" w:eastAsia="Times New Roman" w:hAnsi="Times New Roman" w:cs="Times New Roman"/>
          <w:sz w:val="22"/>
        </w:rPr>
        <w:t>One irregularity in project No LT06-5-GP-VI-001 (LT-JUSTICE), which fell under the provisions of Article 12.5 (2) of the Regulations, was detected on 19/04/2022 and reported to the FMO on 22/02/2023. The case of the irregularity is related to the expense</w:t>
      </w:r>
      <w:r>
        <w:rPr>
          <w:rFonts w:ascii="Times New Roman" w:eastAsia="Times New Roman" w:hAnsi="Times New Roman" w:cs="Times New Roman"/>
          <w:sz w:val="22"/>
        </w:rPr>
        <w:t>s of bank account operations and account management fees and the ineligible expenditure related to the irregularity equals to EUR 146.22 (including grant and national co-financing).</w:t>
      </w:r>
    </w:p>
    <w:p w:rsidR="00A37E99" w:rsidRDefault="00E74D2D">
      <w:pPr>
        <w:spacing w:before="240" w:after="240"/>
        <w:jc w:val="both"/>
      </w:pPr>
      <w:r>
        <w:rPr>
          <w:rFonts w:ascii="Times New Roman" w:eastAsia="Times New Roman" w:hAnsi="Times New Roman" w:cs="Times New Roman"/>
          <w:sz w:val="22"/>
        </w:rPr>
        <w:t>There were no irregularities, which fell under the provisions of Article 1</w:t>
      </w:r>
      <w:r>
        <w:rPr>
          <w:rFonts w:ascii="Times New Roman" w:eastAsia="Times New Roman" w:hAnsi="Times New Roman" w:cs="Times New Roman"/>
          <w:sz w:val="22"/>
        </w:rPr>
        <w:t>2.5 (1) of the Regulations, detected.</w:t>
      </w:r>
    </w:p>
    <w:p w:rsidR="00A843BC" w:rsidRPr="0038243F" w:rsidRDefault="00E74D2D" w:rsidP="00FB0334">
      <w:pPr>
        <w:pStyle w:val="Antrat2"/>
        <w:rPr>
          <w:rFonts w:cs="Arial"/>
        </w:rPr>
      </w:pPr>
      <w:bookmarkStart w:id="18" w:name="_Toc256000016"/>
      <w:r w:rsidRPr="0038243F">
        <w:rPr>
          <w:rFonts w:cs="Arial"/>
        </w:rPr>
        <w:t>d. Audit</w:t>
      </w:r>
      <w:bookmarkEnd w:id="18"/>
    </w:p>
    <w:p w:rsidR="00A37E99" w:rsidRDefault="00E74D2D">
      <w:pPr>
        <w:spacing w:after="240"/>
      </w:pPr>
      <w:r>
        <w:rPr>
          <w:rFonts w:ascii="Times New Roman" w:eastAsia="Times New Roman" w:hAnsi="Times New Roman" w:cs="Times New Roman"/>
          <w:sz w:val="22"/>
        </w:rPr>
        <w:t>During the reporting period the AA performed:</w:t>
      </w:r>
    </w:p>
    <w:p w:rsidR="00A37E99" w:rsidRDefault="00E74D2D">
      <w:pPr>
        <w:numPr>
          <w:ilvl w:val="0"/>
          <w:numId w:val="14"/>
        </w:numPr>
        <w:spacing w:before="240"/>
        <w:ind w:hanging="210"/>
        <w:jc w:val="both"/>
      </w:pPr>
      <w:r>
        <w:rPr>
          <w:rFonts w:ascii="Times New Roman" w:eastAsia="Times New Roman" w:hAnsi="Times New Roman" w:cs="Times New Roman"/>
          <w:sz w:val="22"/>
        </w:rPr>
        <w:t>The audit of effectiveness of functioning of the MCS of the Health Programme under the EEA Financial Mechanism 2014–2021.</w:t>
      </w:r>
    </w:p>
    <w:p w:rsidR="00A37E99" w:rsidRDefault="00E74D2D">
      <w:pPr>
        <w:numPr>
          <w:ilvl w:val="0"/>
          <w:numId w:val="14"/>
        </w:numPr>
        <w:ind w:hanging="210"/>
        <w:jc w:val="both"/>
      </w:pPr>
      <w:r>
        <w:rPr>
          <w:rFonts w:ascii="Times New Roman" w:eastAsia="Times New Roman" w:hAnsi="Times New Roman" w:cs="Times New Roman"/>
          <w:sz w:val="22"/>
        </w:rPr>
        <w:t>The audit of effectiveness of functioning</w:t>
      </w:r>
      <w:r>
        <w:rPr>
          <w:rFonts w:ascii="Times New Roman" w:eastAsia="Times New Roman" w:hAnsi="Times New Roman" w:cs="Times New Roman"/>
          <w:sz w:val="22"/>
        </w:rPr>
        <w:t xml:space="preserve"> of the MCS of the Culture Programme under the EEA Financial Mechanism 2014–2021.</w:t>
      </w:r>
    </w:p>
    <w:p w:rsidR="00A37E99" w:rsidRDefault="00E74D2D">
      <w:pPr>
        <w:numPr>
          <w:ilvl w:val="0"/>
          <w:numId w:val="14"/>
        </w:numPr>
        <w:ind w:hanging="210"/>
        <w:jc w:val="both"/>
      </w:pPr>
      <w:r>
        <w:rPr>
          <w:rFonts w:ascii="Times New Roman" w:eastAsia="Times New Roman" w:hAnsi="Times New Roman" w:cs="Times New Roman"/>
          <w:sz w:val="22"/>
        </w:rPr>
        <w:t>The audit of effectiveness of functioning of the MCS of the Innovation, Business Development, and SMEs Programme under the Norwegian Financial Mechanism 2014–2021</w:t>
      </w:r>
    </w:p>
    <w:p w:rsidR="00A37E99" w:rsidRDefault="00E74D2D">
      <w:pPr>
        <w:numPr>
          <w:ilvl w:val="0"/>
          <w:numId w:val="14"/>
        </w:numPr>
        <w:spacing w:after="240"/>
        <w:ind w:hanging="210"/>
        <w:jc w:val="both"/>
      </w:pPr>
      <w:r>
        <w:rPr>
          <w:rFonts w:ascii="Times New Roman" w:eastAsia="Times New Roman" w:hAnsi="Times New Roman" w:cs="Times New Roman"/>
          <w:sz w:val="22"/>
        </w:rPr>
        <w:t>The audit o</w:t>
      </w:r>
      <w:r>
        <w:rPr>
          <w:rFonts w:ascii="Times New Roman" w:eastAsia="Times New Roman" w:hAnsi="Times New Roman" w:cs="Times New Roman"/>
          <w:sz w:val="22"/>
        </w:rPr>
        <w:t>f declared expenditure of the Programmes, technical assistance and the Fund for Bilateral Relations under the EEA and Norwegian Financial Mechanisms 2014–2021.</w:t>
      </w:r>
    </w:p>
    <w:p w:rsidR="00A37E99" w:rsidRDefault="00E74D2D">
      <w:pPr>
        <w:spacing w:before="240" w:after="240"/>
        <w:jc w:val="both"/>
      </w:pPr>
      <w:r>
        <w:rPr>
          <w:rFonts w:ascii="Times New Roman" w:eastAsia="Times New Roman" w:hAnsi="Times New Roman" w:cs="Times New Roman"/>
          <w:sz w:val="22"/>
        </w:rPr>
        <w:t xml:space="preserve">These audits were planned and performed in regard to the requirements of paragraphs (b) and (c) </w:t>
      </w:r>
      <w:r>
        <w:rPr>
          <w:rFonts w:ascii="Times New Roman" w:eastAsia="Times New Roman" w:hAnsi="Times New Roman" w:cs="Times New Roman"/>
          <w:sz w:val="22"/>
        </w:rPr>
        <w:t xml:space="preserve">of Article 5.5(1) of the Regulations and the results of the risk assessment. </w:t>
      </w:r>
    </w:p>
    <w:p w:rsidR="00A37E99" w:rsidRDefault="00E74D2D">
      <w:pPr>
        <w:spacing w:before="240" w:after="240"/>
        <w:jc w:val="both"/>
      </w:pPr>
      <w:r>
        <w:rPr>
          <w:rFonts w:ascii="Times New Roman" w:eastAsia="Times New Roman" w:hAnsi="Times New Roman" w:cs="Times New Roman"/>
          <w:sz w:val="22"/>
        </w:rPr>
        <w:t>The purpose of the system audits was to analyse the actual functioning of the MCS of the Programmes and to assess the effectiveness and efficiency of the functioning of the MCS o</w:t>
      </w:r>
      <w:r>
        <w:rPr>
          <w:rFonts w:ascii="Times New Roman" w:eastAsia="Times New Roman" w:hAnsi="Times New Roman" w:cs="Times New Roman"/>
          <w:sz w:val="22"/>
        </w:rPr>
        <w:t>f the Programmes, i.e. to analyse and assess whether the MCS of the Programmes is working well and ensures the successful achievement of the objectives and results, the appropriate and efficient use of funds of the EEA and Norwegian Financial Mechanisms 20</w:t>
      </w:r>
      <w:r>
        <w:rPr>
          <w:rFonts w:ascii="Times New Roman" w:eastAsia="Times New Roman" w:hAnsi="Times New Roman" w:cs="Times New Roman"/>
          <w:sz w:val="22"/>
        </w:rPr>
        <w:t xml:space="preserve">14–2021 as well as reasonableness, legality and eligibility of the expenditure declared. </w:t>
      </w:r>
    </w:p>
    <w:p w:rsidR="00A37E99" w:rsidRDefault="00E74D2D">
      <w:pPr>
        <w:spacing w:before="240" w:after="240"/>
        <w:jc w:val="both"/>
      </w:pPr>
      <w:r>
        <w:rPr>
          <w:rFonts w:ascii="Times New Roman" w:eastAsia="Times New Roman" w:hAnsi="Times New Roman" w:cs="Times New Roman"/>
          <w:sz w:val="22"/>
        </w:rPr>
        <w:t>The purpose of the declared expenditure audit was to verify the declared expenditure of the Programmes, technical assistance and the Fund for Bilateral Relations unde</w:t>
      </w:r>
      <w:r>
        <w:rPr>
          <w:rFonts w:ascii="Times New Roman" w:eastAsia="Times New Roman" w:hAnsi="Times New Roman" w:cs="Times New Roman"/>
          <w:sz w:val="22"/>
        </w:rPr>
        <w:t xml:space="preserve">r the EEA and </w:t>
      </w:r>
      <w:r>
        <w:rPr>
          <w:rFonts w:ascii="Times New Roman" w:eastAsia="Times New Roman" w:hAnsi="Times New Roman" w:cs="Times New Roman"/>
          <w:sz w:val="22"/>
        </w:rPr>
        <w:lastRenderedPageBreak/>
        <w:t>Norwegian Financial Mechanisms 2014–2021 and to assess whether these expenditure have been incurred and paid without prejudice to the Regulations, Memoranda of Understanding, other legislation of donor states and the Republic of Lithuania gov</w:t>
      </w:r>
      <w:r>
        <w:rPr>
          <w:rFonts w:ascii="Times New Roman" w:eastAsia="Times New Roman" w:hAnsi="Times New Roman" w:cs="Times New Roman"/>
          <w:sz w:val="22"/>
        </w:rPr>
        <w:t>erning the implementation of the EEA and Norwegian Financial Mechanisms 2014–2021 and are correct, legal, reasonable and eligible for funding from the EEA and Norwegian Financial Mechanisms 2014–2021 and co-financing (in case of co-financing).</w:t>
      </w:r>
    </w:p>
    <w:p w:rsidR="00A37E99" w:rsidRDefault="00E74D2D">
      <w:pPr>
        <w:spacing w:before="240" w:after="240"/>
        <w:jc w:val="both"/>
      </w:pPr>
      <w:r>
        <w:rPr>
          <w:rFonts w:ascii="Times New Roman" w:eastAsia="Times New Roman" w:hAnsi="Times New Roman" w:cs="Times New Roman"/>
          <w:sz w:val="22"/>
        </w:rPr>
        <w:t>The informat</w:t>
      </w:r>
      <w:r>
        <w:rPr>
          <w:rFonts w:ascii="Times New Roman" w:eastAsia="Times New Roman" w:hAnsi="Times New Roman" w:cs="Times New Roman"/>
          <w:sz w:val="22"/>
        </w:rPr>
        <w:t>ion on the results and findings of the aforementioned audits is provided below.</w:t>
      </w:r>
    </w:p>
    <w:p w:rsidR="00A37E99" w:rsidRDefault="00E74D2D">
      <w:pPr>
        <w:spacing w:before="240" w:after="240"/>
        <w:jc w:val="both"/>
      </w:pPr>
      <w:r>
        <w:rPr>
          <w:rFonts w:ascii="Times New Roman" w:eastAsia="Times New Roman" w:hAnsi="Times New Roman" w:cs="Times New Roman"/>
          <w:b/>
          <w:bCs/>
          <w:sz w:val="22"/>
        </w:rPr>
        <w:t>The audit of effectiveness of functioning of the MCS of the Health Programme under the EEA Financial Mechanism 2014–2021</w:t>
      </w:r>
    </w:p>
    <w:p w:rsidR="00A37E99" w:rsidRDefault="00E74D2D">
      <w:pPr>
        <w:spacing w:before="240" w:after="240"/>
        <w:jc w:val="both"/>
      </w:pPr>
      <w:r>
        <w:rPr>
          <w:rFonts w:ascii="Times New Roman" w:eastAsia="Times New Roman" w:hAnsi="Times New Roman" w:cs="Times New Roman"/>
          <w:sz w:val="22"/>
        </w:rPr>
        <w:t>After completing the audit procedures, it was determined that the PO and the PP carry out the attributed functions and procedures set out in the Regulation, Memorandum of Understanding, other legislation of donor states and the Republic of Lithuania, proce</w:t>
      </w:r>
      <w:r>
        <w:rPr>
          <w:rFonts w:ascii="Times New Roman" w:eastAsia="Times New Roman" w:hAnsi="Times New Roman" w:cs="Times New Roman"/>
          <w:sz w:val="22"/>
        </w:rPr>
        <w:t xml:space="preserve">dure manuals and guidelines governing the management and control of the Financial Mechanisms. Regarding the effectiveness of the functioning of the Programme MCS, the final estimate was as follows: </w:t>
      </w:r>
      <w:r>
        <w:rPr>
          <w:rFonts w:ascii="Times New Roman" w:eastAsia="Times New Roman" w:hAnsi="Times New Roman" w:cs="Times New Roman"/>
          <w:b/>
          <w:bCs/>
          <w:sz w:val="22"/>
        </w:rPr>
        <w:t>works well</w:t>
      </w:r>
      <w:r>
        <w:rPr>
          <w:rFonts w:ascii="Times New Roman" w:eastAsia="Times New Roman" w:hAnsi="Times New Roman" w:cs="Times New Roman"/>
          <w:sz w:val="22"/>
        </w:rPr>
        <w:t xml:space="preserve"> (minor improvements are needed). According to t</w:t>
      </w:r>
      <w:r>
        <w:rPr>
          <w:rFonts w:ascii="Times New Roman" w:eastAsia="Times New Roman" w:hAnsi="Times New Roman" w:cs="Times New Roman"/>
          <w:sz w:val="22"/>
        </w:rPr>
        <w:t xml:space="preserve">he assessment methodology, such a final estimate was the basis </w:t>
      </w:r>
      <w:r>
        <w:rPr>
          <w:rFonts w:ascii="Times New Roman" w:eastAsia="Times New Roman" w:hAnsi="Times New Roman" w:cs="Times New Roman"/>
          <w:b/>
          <w:bCs/>
          <w:sz w:val="22"/>
        </w:rPr>
        <w:t xml:space="preserve">for an unqualified opinion </w:t>
      </w:r>
      <w:r>
        <w:rPr>
          <w:rFonts w:ascii="Times New Roman" w:eastAsia="Times New Roman" w:hAnsi="Times New Roman" w:cs="Times New Roman"/>
          <w:sz w:val="22"/>
        </w:rPr>
        <w:t>(the MCS of the Health Programme works well and effectively, ensures the successful implementation of the Programme, the achievement of the envisaged objectives and r</w:t>
      </w:r>
      <w:r>
        <w:rPr>
          <w:rFonts w:ascii="Times New Roman" w:eastAsia="Times New Roman" w:hAnsi="Times New Roman" w:cs="Times New Roman"/>
          <w:sz w:val="22"/>
        </w:rPr>
        <w:t>esults of the Programme, the proper and efficient use of assistance and reasonableness, legality and eligibility of the expenditure declared).</w:t>
      </w:r>
    </w:p>
    <w:p w:rsidR="00A37E99" w:rsidRDefault="00E74D2D">
      <w:pPr>
        <w:spacing w:before="240" w:after="240"/>
        <w:jc w:val="both"/>
      </w:pPr>
      <w:r>
        <w:rPr>
          <w:rFonts w:ascii="Times New Roman" w:eastAsia="Times New Roman" w:hAnsi="Times New Roman" w:cs="Times New Roman"/>
          <w:b/>
          <w:bCs/>
          <w:sz w:val="22"/>
        </w:rPr>
        <w:t>The audit of effectiveness of functioning of the MCS of the Culture Programme under the EEA Financial Mechanism 2</w:t>
      </w:r>
      <w:r>
        <w:rPr>
          <w:rFonts w:ascii="Times New Roman" w:eastAsia="Times New Roman" w:hAnsi="Times New Roman" w:cs="Times New Roman"/>
          <w:b/>
          <w:bCs/>
          <w:sz w:val="22"/>
        </w:rPr>
        <w:t>014–2021</w:t>
      </w:r>
      <w:r>
        <w:rPr>
          <w:rFonts w:ascii="Calibri" w:eastAsia="Calibri" w:hAnsi="Calibri" w:cs="Calibri"/>
          <w:sz w:val="22"/>
        </w:rPr>
        <w:t xml:space="preserve"> </w:t>
      </w:r>
    </w:p>
    <w:p w:rsidR="00A37E99" w:rsidRDefault="00E74D2D">
      <w:pPr>
        <w:spacing w:before="240" w:after="240"/>
        <w:jc w:val="both"/>
      </w:pPr>
      <w:r>
        <w:rPr>
          <w:rFonts w:ascii="Times New Roman" w:eastAsia="Times New Roman" w:hAnsi="Times New Roman" w:cs="Times New Roman"/>
          <w:sz w:val="22"/>
        </w:rPr>
        <w:t>After the audit procedures, it was determined the PO and the PP carry out the attributed functions and procedures set out in the Regulation, Memorandum of Understanding, other legislation of donor states and the Republic of Lithuania, procedure m</w:t>
      </w:r>
      <w:r>
        <w:rPr>
          <w:rFonts w:ascii="Times New Roman" w:eastAsia="Times New Roman" w:hAnsi="Times New Roman" w:cs="Times New Roman"/>
          <w:sz w:val="22"/>
        </w:rPr>
        <w:t xml:space="preserve">anuals and guidelines governing the management and control of the Financial Mechanisms. Regarding the effectiveness of the functioning of the Programme MCS, the final estimate was as follows: </w:t>
      </w:r>
      <w:r>
        <w:rPr>
          <w:rFonts w:ascii="Times New Roman" w:eastAsia="Times New Roman" w:hAnsi="Times New Roman" w:cs="Times New Roman"/>
          <w:b/>
          <w:bCs/>
          <w:sz w:val="22"/>
        </w:rPr>
        <w:t>works well (</w:t>
      </w:r>
      <w:r>
        <w:rPr>
          <w:rFonts w:ascii="Times New Roman" w:eastAsia="Times New Roman" w:hAnsi="Times New Roman" w:cs="Times New Roman"/>
          <w:sz w:val="22"/>
        </w:rPr>
        <w:t>just</w:t>
      </w:r>
      <w:r>
        <w:rPr>
          <w:rFonts w:ascii="Times New Roman" w:eastAsia="Times New Roman" w:hAnsi="Times New Roman" w:cs="Times New Roman"/>
          <w:b/>
          <w:bCs/>
          <w:sz w:val="22"/>
        </w:rPr>
        <w:t xml:space="preserve"> </w:t>
      </w:r>
      <w:r>
        <w:rPr>
          <w:rFonts w:ascii="Times New Roman" w:eastAsia="Times New Roman" w:hAnsi="Times New Roman" w:cs="Times New Roman"/>
          <w:sz w:val="22"/>
        </w:rPr>
        <w:t>one minor observation has been made regarding t</w:t>
      </w:r>
      <w:r>
        <w:rPr>
          <w:rFonts w:ascii="Times New Roman" w:eastAsia="Times New Roman" w:hAnsi="Times New Roman" w:cs="Times New Roman"/>
          <w:sz w:val="22"/>
        </w:rPr>
        <w:t xml:space="preserve">he amendment to the procedure manual). According to the assessment methodology, such a final estimate was the basis for </w:t>
      </w:r>
      <w:r>
        <w:rPr>
          <w:rFonts w:ascii="Times New Roman" w:eastAsia="Times New Roman" w:hAnsi="Times New Roman" w:cs="Times New Roman"/>
          <w:b/>
          <w:bCs/>
          <w:sz w:val="22"/>
        </w:rPr>
        <w:t>an unqualified opinion</w:t>
      </w:r>
      <w:r>
        <w:rPr>
          <w:rFonts w:ascii="Times New Roman" w:eastAsia="Times New Roman" w:hAnsi="Times New Roman" w:cs="Times New Roman"/>
          <w:sz w:val="22"/>
        </w:rPr>
        <w:t xml:space="preserve"> (the MCS of the Culture Programme works well and effectively, ensures the successful implementation of the Progra</w:t>
      </w:r>
      <w:r>
        <w:rPr>
          <w:rFonts w:ascii="Times New Roman" w:eastAsia="Times New Roman" w:hAnsi="Times New Roman" w:cs="Times New Roman"/>
          <w:sz w:val="22"/>
        </w:rPr>
        <w:t>mme, the achievement of the envisaged objectives and results of the Programme, the proper and efficient use of assistance and reasonableness, legality and eligibility of the expenditure declared).</w:t>
      </w:r>
    </w:p>
    <w:p w:rsidR="00A37E99" w:rsidRDefault="00E74D2D">
      <w:pPr>
        <w:spacing w:before="240" w:after="240"/>
        <w:jc w:val="both"/>
      </w:pPr>
      <w:r>
        <w:rPr>
          <w:rFonts w:ascii="Times New Roman" w:eastAsia="Times New Roman" w:hAnsi="Times New Roman" w:cs="Times New Roman"/>
          <w:b/>
          <w:bCs/>
          <w:sz w:val="22"/>
        </w:rPr>
        <w:t>The audit of effectiveness of functioning of the MCS of the</w:t>
      </w:r>
      <w:r>
        <w:rPr>
          <w:rFonts w:ascii="Times New Roman" w:eastAsia="Times New Roman" w:hAnsi="Times New Roman" w:cs="Times New Roman"/>
          <w:b/>
          <w:bCs/>
          <w:sz w:val="22"/>
        </w:rPr>
        <w:t xml:space="preserve"> Business Development, and SMEs Programme</w:t>
      </w:r>
      <w:r>
        <w:rPr>
          <w:rFonts w:ascii="Calibri" w:eastAsia="Calibri" w:hAnsi="Calibri" w:cs="Calibri"/>
          <w:sz w:val="22"/>
        </w:rPr>
        <w:t xml:space="preserve"> </w:t>
      </w:r>
      <w:r>
        <w:rPr>
          <w:rFonts w:ascii="Times New Roman" w:eastAsia="Times New Roman" w:hAnsi="Times New Roman" w:cs="Times New Roman"/>
          <w:b/>
          <w:bCs/>
          <w:sz w:val="22"/>
        </w:rPr>
        <w:t>under the EEA Financial Mechanism 2014–2021</w:t>
      </w:r>
    </w:p>
    <w:p w:rsidR="00A37E99" w:rsidRDefault="00E74D2D">
      <w:pPr>
        <w:spacing w:before="240" w:after="240"/>
        <w:jc w:val="both"/>
      </w:pPr>
      <w:r>
        <w:rPr>
          <w:rFonts w:ascii="Times New Roman" w:eastAsia="Times New Roman" w:hAnsi="Times New Roman" w:cs="Times New Roman"/>
          <w:sz w:val="22"/>
        </w:rPr>
        <w:t>Summarising the audit findings, it can be concluded that the PO and the PP perform the functions and procedures assigned by the Regulation, the Memorandum of Understandin</w:t>
      </w:r>
      <w:r>
        <w:rPr>
          <w:rFonts w:ascii="Times New Roman" w:eastAsia="Times New Roman" w:hAnsi="Times New Roman" w:cs="Times New Roman"/>
          <w:sz w:val="22"/>
        </w:rPr>
        <w:t>g and other legal acts of the donor states and the Republic of Lithuania, Programme DMCS and the guidelines governing the management and control of the Financial Mechanisms, but 8 observations have been identified, relating to description and assignment of</w:t>
      </w:r>
      <w:r>
        <w:rPr>
          <w:rFonts w:ascii="Times New Roman" w:eastAsia="Times New Roman" w:hAnsi="Times New Roman" w:cs="Times New Roman"/>
          <w:sz w:val="22"/>
        </w:rPr>
        <w:t xml:space="preserve"> the procedures, performance of the PP functions.</w:t>
      </w:r>
    </w:p>
    <w:p w:rsidR="00A37E99" w:rsidRDefault="00E74D2D">
      <w:pPr>
        <w:spacing w:before="240" w:after="240"/>
        <w:jc w:val="both"/>
      </w:pPr>
      <w:r>
        <w:rPr>
          <w:rFonts w:ascii="Times New Roman" w:eastAsia="Times New Roman" w:hAnsi="Times New Roman" w:cs="Times New Roman"/>
          <w:sz w:val="22"/>
        </w:rPr>
        <w:lastRenderedPageBreak/>
        <w:t xml:space="preserve">After summarising the results, the final estimate for the effectiveness of the functioning of the MCS of Programme was as follows: </w:t>
      </w:r>
      <w:r>
        <w:rPr>
          <w:rFonts w:ascii="Times New Roman" w:eastAsia="Times New Roman" w:hAnsi="Times New Roman" w:cs="Times New Roman"/>
          <w:b/>
          <w:bCs/>
          <w:sz w:val="22"/>
        </w:rPr>
        <w:t>works</w:t>
      </w:r>
      <w:r>
        <w:rPr>
          <w:rFonts w:ascii="Times New Roman" w:eastAsia="Times New Roman" w:hAnsi="Times New Roman" w:cs="Times New Roman"/>
          <w:sz w:val="22"/>
        </w:rPr>
        <w:t>. According to the assessment methodology, such a final estimate was t</w:t>
      </w:r>
      <w:r>
        <w:rPr>
          <w:rFonts w:ascii="Times New Roman" w:eastAsia="Times New Roman" w:hAnsi="Times New Roman" w:cs="Times New Roman"/>
          <w:sz w:val="22"/>
        </w:rPr>
        <w:t xml:space="preserve">he basis for </w:t>
      </w:r>
      <w:r>
        <w:rPr>
          <w:rFonts w:ascii="Times New Roman" w:eastAsia="Times New Roman" w:hAnsi="Times New Roman" w:cs="Times New Roman"/>
          <w:b/>
          <w:bCs/>
          <w:sz w:val="22"/>
        </w:rPr>
        <w:t>an unqualified opinion</w:t>
      </w:r>
      <w:r>
        <w:rPr>
          <w:rFonts w:ascii="Times New Roman" w:eastAsia="Times New Roman" w:hAnsi="Times New Roman" w:cs="Times New Roman"/>
          <w:sz w:val="22"/>
        </w:rPr>
        <w:t xml:space="preserve"> (MCS of the Programme works, ensures the implementation of the Programme, the achievement of the envisaged objectives and results of the Programme, the proper and efficient use of assistance and reasonableness, legality </w:t>
      </w:r>
      <w:r>
        <w:rPr>
          <w:rFonts w:ascii="Times New Roman" w:eastAsia="Times New Roman" w:hAnsi="Times New Roman" w:cs="Times New Roman"/>
          <w:sz w:val="22"/>
        </w:rPr>
        <w:t>and eligibility of the expenditure declared).</w:t>
      </w:r>
    </w:p>
    <w:p w:rsidR="00A37E99" w:rsidRDefault="00E74D2D">
      <w:pPr>
        <w:spacing w:before="240" w:after="240"/>
        <w:jc w:val="both"/>
      </w:pPr>
      <w:r>
        <w:rPr>
          <w:rFonts w:ascii="Times New Roman" w:eastAsia="Times New Roman" w:hAnsi="Times New Roman" w:cs="Times New Roman"/>
          <w:sz w:val="22"/>
        </w:rPr>
        <w:t>Considering all the findings of the audit of the effectiveness of the functioning of the MCS of the Programme, it should be noted that there is no reason to recognize that findings and disadvantages should be c</w:t>
      </w:r>
      <w:r>
        <w:rPr>
          <w:rFonts w:ascii="Times New Roman" w:eastAsia="Times New Roman" w:hAnsi="Times New Roman" w:cs="Times New Roman"/>
          <w:sz w:val="22"/>
        </w:rPr>
        <w:t xml:space="preserve">onsidered to be of a systemic character. Moreover, no irregularities or significant deficiencies were found during this audit. </w:t>
      </w:r>
    </w:p>
    <w:p w:rsidR="00A37E99" w:rsidRDefault="00E74D2D">
      <w:pPr>
        <w:spacing w:before="240" w:after="240"/>
        <w:jc w:val="both"/>
      </w:pPr>
      <w:r>
        <w:rPr>
          <w:rFonts w:ascii="Times New Roman" w:eastAsia="Times New Roman" w:hAnsi="Times New Roman" w:cs="Times New Roman"/>
          <w:sz w:val="22"/>
        </w:rPr>
        <w:t>It also should be noted that the PO of the Programme changed in 2022. Until 31 August 2022, the operator of that Programme was A</w:t>
      </w:r>
      <w:r>
        <w:rPr>
          <w:rFonts w:ascii="Times New Roman" w:eastAsia="Times New Roman" w:hAnsi="Times New Roman" w:cs="Times New Roman"/>
          <w:sz w:val="22"/>
        </w:rPr>
        <w:t>gency for Science, Innovation and Technology (MITA), and since 1 September 2022 the Innovation Agency is entrusted with the functions of the PO of the Programme laid down in Article 5.6 of the Regulation. The change of the PO and the MCS of the Programme O</w:t>
      </w:r>
      <w:r>
        <w:rPr>
          <w:rFonts w:ascii="Times New Roman" w:eastAsia="Times New Roman" w:hAnsi="Times New Roman" w:cs="Times New Roman"/>
          <w:sz w:val="22"/>
        </w:rPr>
        <w:t>perator was assessed during this audit. It was established that this change has no negative impact on the successful implementation of the Programme. In addition, it should be noted that the audit has not determined any significant weaknesses in the compli</w:t>
      </w:r>
      <w:r>
        <w:rPr>
          <w:rFonts w:ascii="Times New Roman" w:eastAsia="Times New Roman" w:hAnsi="Times New Roman" w:cs="Times New Roman"/>
          <w:sz w:val="22"/>
        </w:rPr>
        <w:t xml:space="preserve">ance and functioning of the MCS due to the change in the PO. In view of the above, we consider that the changes of the MCS and the PO of the Programme are compatible with the provisions of the Regulation. Also, such changes of the MCS of the Programme are </w:t>
      </w:r>
      <w:r>
        <w:rPr>
          <w:rFonts w:ascii="Times New Roman" w:eastAsia="Times New Roman" w:hAnsi="Times New Roman" w:cs="Times New Roman"/>
          <w:sz w:val="22"/>
        </w:rPr>
        <w:t>not in prejudice to the provisions laid down in the Memorandum of Understanding, other legal acts and guidelines of the donor states and the Republic of Lithuania governing the management and control of Financial Mechanisms.</w:t>
      </w:r>
    </w:p>
    <w:p w:rsidR="00A37E99" w:rsidRDefault="00E74D2D">
      <w:pPr>
        <w:spacing w:before="240" w:after="240"/>
        <w:jc w:val="both"/>
      </w:pPr>
      <w:r>
        <w:rPr>
          <w:rFonts w:ascii="Times New Roman" w:eastAsia="Times New Roman" w:hAnsi="Times New Roman" w:cs="Times New Roman"/>
          <w:sz w:val="22"/>
        </w:rPr>
        <w:t>It should be noted that no irre</w:t>
      </w:r>
      <w:r>
        <w:rPr>
          <w:rFonts w:ascii="Times New Roman" w:eastAsia="Times New Roman" w:hAnsi="Times New Roman" w:cs="Times New Roman"/>
          <w:sz w:val="22"/>
        </w:rPr>
        <w:t>gularities were found during all these audits.</w:t>
      </w:r>
    </w:p>
    <w:p w:rsidR="00A37E99" w:rsidRDefault="00E74D2D">
      <w:pPr>
        <w:spacing w:before="240" w:after="240"/>
        <w:jc w:val="both"/>
      </w:pPr>
      <w:r>
        <w:rPr>
          <w:rFonts w:ascii="Times New Roman" w:eastAsia="Times New Roman" w:hAnsi="Times New Roman" w:cs="Times New Roman"/>
          <w:b/>
          <w:bCs/>
          <w:sz w:val="22"/>
        </w:rPr>
        <w:t>Audit of declared expenditure of the Programmes, technical assistance and the Fund for Bilateral Relations under the EEA and Norwegian Financial Mechanisms 2014–2021</w:t>
      </w:r>
    </w:p>
    <w:p w:rsidR="00A37E99" w:rsidRDefault="00E74D2D">
      <w:pPr>
        <w:spacing w:before="240" w:after="240"/>
        <w:jc w:val="both"/>
      </w:pPr>
      <w:r>
        <w:rPr>
          <w:rFonts w:ascii="Times New Roman" w:eastAsia="Times New Roman" w:hAnsi="Times New Roman" w:cs="Times New Roman"/>
          <w:sz w:val="22"/>
        </w:rPr>
        <w:t>After completing all audit procedures, no i</w:t>
      </w:r>
      <w:r>
        <w:rPr>
          <w:rFonts w:ascii="Times New Roman" w:eastAsia="Times New Roman" w:hAnsi="Times New Roman" w:cs="Times New Roman"/>
          <w:sz w:val="22"/>
        </w:rPr>
        <w:t>neligible declared expenditure was found. Since the total error rate (TER) &lt; 2, it was concluded that all expenditure of the programmes (projects costs and programme management costs), technical assistance and the Fund for Bilateral Relations under the EEA</w:t>
      </w:r>
      <w:r>
        <w:rPr>
          <w:rFonts w:ascii="Times New Roman" w:eastAsia="Times New Roman" w:hAnsi="Times New Roman" w:cs="Times New Roman"/>
          <w:sz w:val="22"/>
        </w:rPr>
        <w:t xml:space="preserve"> and Norwegian Financial Mechanisms 2014–2021 declared to the FMO in 2022 were incurred without prejudice to the Regulations, Memoranda of Understanding, other legislation of donor states and the Republic of Lithuania governing the implementation of the EE</w:t>
      </w:r>
      <w:r>
        <w:rPr>
          <w:rFonts w:ascii="Times New Roman" w:eastAsia="Times New Roman" w:hAnsi="Times New Roman" w:cs="Times New Roman"/>
          <w:sz w:val="22"/>
        </w:rPr>
        <w:t>A and Norwegian Financial Mechanisms 2014–2021, and is correct, legal, reasonable and eligible for funding from the EEA and Norwegian Financial Mechanisms 2014–2021 and co-financing (in case of co-financing).</w:t>
      </w:r>
    </w:p>
    <w:p w:rsidR="00A37E99" w:rsidRDefault="00E74D2D">
      <w:pPr>
        <w:spacing w:before="240" w:after="240"/>
        <w:jc w:val="both"/>
      </w:pPr>
      <w:r>
        <w:rPr>
          <w:rFonts w:ascii="Times New Roman" w:eastAsia="Times New Roman" w:hAnsi="Times New Roman" w:cs="Times New Roman"/>
          <w:sz w:val="22"/>
        </w:rPr>
        <w:t xml:space="preserve">According to the assessment methodology, such a final estimate was the basis for </w:t>
      </w:r>
      <w:r>
        <w:rPr>
          <w:rFonts w:ascii="Times New Roman" w:eastAsia="Times New Roman" w:hAnsi="Times New Roman" w:cs="Times New Roman"/>
          <w:b/>
          <w:bCs/>
          <w:sz w:val="22"/>
        </w:rPr>
        <w:t>an unqualified audit opinion</w:t>
      </w:r>
      <w:r>
        <w:rPr>
          <w:rFonts w:ascii="Times New Roman" w:eastAsia="Times New Roman" w:hAnsi="Times New Roman" w:cs="Times New Roman"/>
          <w:sz w:val="22"/>
        </w:rPr>
        <w:t xml:space="preserve"> stating that, according to the audit procedures, in all relevant aspects, the declared expenditure of the programmes, technical assistance and the</w:t>
      </w:r>
      <w:r>
        <w:rPr>
          <w:rFonts w:ascii="Times New Roman" w:eastAsia="Times New Roman" w:hAnsi="Times New Roman" w:cs="Times New Roman"/>
          <w:sz w:val="22"/>
        </w:rPr>
        <w:t xml:space="preserve"> Fund for Bilateral Relations under the EEA and Norwegian Financial Mechanisms 2014–2021 is correct, legal, reasonable and eligible for funding from the EEA and Norwegian Financial Mechanisms 2014–2021 and co-financing (in case of co-financing). </w:t>
      </w:r>
    </w:p>
    <w:p w:rsidR="00A37E99" w:rsidRDefault="00E74D2D">
      <w:pPr>
        <w:spacing w:before="240" w:after="240"/>
        <w:jc w:val="both"/>
      </w:pPr>
      <w:r>
        <w:rPr>
          <w:rFonts w:ascii="Times New Roman" w:eastAsia="Times New Roman" w:hAnsi="Times New Roman" w:cs="Times New Roman"/>
          <w:sz w:val="22"/>
        </w:rPr>
        <w:t>In additi</w:t>
      </w:r>
      <w:r>
        <w:rPr>
          <w:rFonts w:ascii="Times New Roman" w:eastAsia="Times New Roman" w:hAnsi="Times New Roman" w:cs="Times New Roman"/>
          <w:sz w:val="22"/>
        </w:rPr>
        <w:t xml:space="preserve">on, it should be noted that neither observations nor recommendations were provided in the Audit Report on Expenditure of the Programmes, Technical Assistance and the Fund for </w:t>
      </w:r>
      <w:r>
        <w:rPr>
          <w:rFonts w:ascii="Times New Roman" w:eastAsia="Times New Roman" w:hAnsi="Times New Roman" w:cs="Times New Roman"/>
          <w:sz w:val="22"/>
        </w:rPr>
        <w:lastRenderedPageBreak/>
        <w:t>Bilateral Relations under the EEA and Norwegian Financial Mechanisms 2014–2021 De</w:t>
      </w:r>
      <w:r>
        <w:rPr>
          <w:rFonts w:ascii="Times New Roman" w:eastAsia="Times New Roman" w:hAnsi="Times New Roman" w:cs="Times New Roman"/>
          <w:sz w:val="22"/>
        </w:rPr>
        <w:t>clared in 2022. Also, no irregularities were found during this audit.</w:t>
      </w:r>
    </w:p>
    <w:p w:rsidR="00FD53F5" w:rsidRPr="0038243F" w:rsidRDefault="00E74D2D" w:rsidP="00FD53F5">
      <w:pPr>
        <w:pStyle w:val="Antrat1"/>
        <w:rPr>
          <w:rFonts w:cs="Arial"/>
        </w:rPr>
      </w:pPr>
      <w:bookmarkStart w:id="19" w:name="_Toc256000017"/>
      <w:r w:rsidRPr="0038243F">
        <w:rPr>
          <w:rFonts w:cs="Arial"/>
        </w:rPr>
        <w:t>6.</w:t>
      </w:r>
      <w:r w:rsidRPr="0038243F">
        <w:rPr>
          <w:rFonts w:cs="Arial"/>
        </w:rPr>
        <w:tab/>
      </w:r>
      <w:r>
        <w:rPr>
          <w:rFonts w:cs="Arial"/>
        </w:rPr>
        <w:t>Monitoring and evaluation</w:t>
      </w:r>
      <w:bookmarkEnd w:id="19"/>
    </w:p>
    <w:p w:rsidR="00FB0334" w:rsidRPr="0038243F" w:rsidRDefault="00E74D2D" w:rsidP="00FB0334">
      <w:pPr>
        <w:pStyle w:val="Antrat2"/>
        <w:rPr>
          <w:rFonts w:cs="Arial"/>
        </w:rPr>
      </w:pPr>
      <w:bookmarkStart w:id="20" w:name="_Toc256000018"/>
      <w:bookmarkStart w:id="21" w:name="_Toc18006832"/>
      <w:r w:rsidRPr="0038243F">
        <w:rPr>
          <w:rFonts w:cs="Arial"/>
        </w:rPr>
        <w:t>a. Monitoring</w:t>
      </w:r>
      <w:bookmarkEnd w:id="20"/>
    </w:p>
    <w:p w:rsidR="00A37E99" w:rsidRDefault="00E74D2D">
      <w:pPr>
        <w:spacing w:after="240"/>
        <w:jc w:val="both"/>
      </w:pPr>
      <w:r>
        <w:rPr>
          <w:rFonts w:ascii="Times New Roman" w:eastAsia="Times New Roman" w:hAnsi="Times New Roman" w:cs="Times New Roman"/>
          <w:sz w:val="22"/>
        </w:rPr>
        <w:t>The NFP constantly monitors the progress and quality of the implementation of the programmes by participating in the Programme Committee meetin</w:t>
      </w:r>
      <w:r>
        <w:rPr>
          <w:rFonts w:ascii="Times New Roman" w:eastAsia="Times New Roman" w:hAnsi="Times New Roman" w:cs="Times New Roman"/>
          <w:sz w:val="22"/>
        </w:rPr>
        <w:t>gs as an observer, also analyses and checks the annual programme implementation report submitted by the PO, monitors the FBR implementation, also supervises the functions delegated to the CPMA. The NFP constantly analyses risks related to a successful impl</w:t>
      </w:r>
      <w:r>
        <w:rPr>
          <w:rFonts w:ascii="Times New Roman" w:eastAsia="Times New Roman" w:hAnsi="Times New Roman" w:cs="Times New Roman"/>
          <w:sz w:val="22"/>
        </w:rPr>
        <w:t>ementation of all programmes, the supervision is carried out by taking into account the Risk Management Plan.</w:t>
      </w:r>
    </w:p>
    <w:p w:rsidR="00A37E99" w:rsidRDefault="00E74D2D">
      <w:pPr>
        <w:spacing w:before="240" w:after="240"/>
        <w:jc w:val="both"/>
      </w:pPr>
      <w:r>
        <w:rPr>
          <w:rFonts w:ascii="Times New Roman" w:eastAsia="Times New Roman" w:hAnsi="Times New Roman" w:cs="Times New Roman"/>
          <w:sz w:val="22"/>
        </w:rPr>
        <w:t xml:space="preserve">The NFP supervises and ensures the information and communication of the Grants (for more information see </w:t>
      </w:r>
      <w:r>
        <w:t>Annex E</w:t>
      </w:r>
      <w:r>
        <w:rPr>
          <w:rFonts w:ascii="Times New Roman" w:eastAsia="Times New Roman" w:hAnsi="Times New Roman" w:cs="Times New Roman"/>
          <w:sz w:val="22"/>
        </w:rPr>
        <w:t>“Communication</w:t>
      </w:r>
      <w:r>
        <w:t xml:space="preserve"> summary</w:t>
      </w:r>
      <w:r>
        <w:rPr>
          <w:rFonts w:ascii="Times New Roman" w:eastAsia="Times New Roman" w:hAnsi="Times New Roman" w:cs="Times New Roman"/>
          <w:sz w:val="22"/>
        </w:rPr>
        <w:t xml:space="preserve">”). </w:t>
      </w:r>
    </w:p>
    <w:p w:rsidR="00FB0334" w:rsidRPr="0038243F" w:rsidRDefault="00E74D2D" w:rsidP="00FB0334">
      <w:pPr>
        <w:pStyle w:val="Antrat2"/>
        <w:rPr>
          <w:rFonts w:cs="Arial"/>
        </w:rPr>
      </w:pPr>
      <w:bookmarkStart w:id="22" w:name="_Toc256000019"/>
      <w:r w:rsidRPr="0038243F">
        <w:rPr>
          <w:rFonts w:cs="Arial"/>
        </w:rPr>
        <w:t>b. Eval</w:t>
      </w:r>
      <w:r w:rsidRPr="0038243F">
        <w:rPr>
          <w:rFonts w:cs="Arial"/>
        </w:rPr>
        <w:t>uation</w:t>
      </w:r>
      <w:bookmarkEnd w:id="22"/>
    </w:p>
    <w:p w:rsidR="00A37E99" w:rsidRDefault="00E74D2D">
      <w:pPr>
        <w:spacing w:after="240"/>
      </w:pPr>
      <w:r>
        <w:rPr>
          <w:rFonts w:ascii="Times New Roman" w:eastAsia="Times New Roman" w:hAnsi="Times New Roman" w:cs="Times New Roman"/>
          <w:sz w:val="22"/>
        </w:rPr>
        <w:t xml:space="preserve">Two evaluations of all programmes, except for the Programme “Active Citizens Fund” and the “Social Dialogue - Decent work” are planned, the first one, the mid-term evaluation, was planned in 2022, the second one, the final evaluation (ex-post) – in </w:t>
      </w:r>
      <w:r>
        <w:rPr>
          <w:rFonts w:ascii="Times New Roman" w:eastAsia="Times New Roman" w:hAnsi="Times New Roman" w:cs="Times New Roman"/>
          <w:sz w:val="22"/>
        </w:rPr>
        <w:t xml:space="preserve">2024. The evaluation of the Baltic Research Programme is also planned in 2023. </w:t>
      </w:r>
    </w:p>
    <w:p w:rsidR="00A37E99" w:rsidRDefault="00E74D2D">
      <w:pPr>
        <w:spacing w:before="240" w:after="240"/>
        <w:jc w:val="both"/>
      </w:pPr>
      <w:r>
        <w:rPr>
          <w:rFonts w:ascii="Times New Roman" w:eastAsia="Times New Roman" w:hAnsi="Times New Roman" w:cs="Times New Roman"/>
          <w:sz w:val="22"/>
        </w:rPr>
        <w:t>The mid-term evaluation has been already completed in December 2022</w:t>
      </w:r>
      <w:hyperlink w:anchor="_ftn1" w:history="1">
        <w:bookmarkStart w:id="23" w:name="_ftnref1"/>
        <w:r>
          <w:rPr>
            <w:rFonts w:ascii="Times New Roman" w:eastAsia="Times New Roman" w:hAnsi="Times New Roman" w:cs="Times New Roman"/>
            <w:color w:val="0000EE"/>
            <w:sz w:val="22"/>
            <w:u w:val="single" w:color="0000EE"/>
          </w:rPr>
          <w:t>[1]</w:t>
        </w:r>
      </w:hyperlink>
      <w:bookmarkEnd w:id="23"/>
      <w:r>
        <w:rPr>
          <w:rFonts w:ascii="Times New Roman" w:eastAsia="Times New Roman" w:hAnsi="Times New Roman" w:cs="Times New Roman"/>
          <w:sz w:val="22"/>
        </w:rPr>
        <w:t>. The evaluation covered 6 programmes: „</w:t>
      </w:r>
      <w:r>
        <w:rPr>
          <w:rFonts w:ascii="Times New Roman" w:eastAsia="Times New Roman" w:hAnsi="Times New Roman" w:cs="Times New Roman"/>
          <w:sz w:val="22"/>
        </w:rPr>
        <w:t>Health”, “Culture”, “Environment”, “Energy”, and “Climate Change”, “Justice and Home Affairs”, “Business Development, Innovations and SMEs” and “Research”. It also included the evaluation of the Bilateral Cooperation Fund implemented through these programm</w:t>
      </w:r>
      <w:r>
        <w:rPr>
          <w:rFonts w:ascii="Times New Roman" w:eastAsia="Times New Roman" w:hAnsi="Times New Roman" w:cs="Times New Roman"/>
          <w:sz w:val="22"/>
        </w:rPr>
        <w:t>es. The purpose of the evaluation was to assess relevance, effectiveness, efficiency, coherence, sustainability, and impact of the programmes' investments in order to improve the use of programmes’ investments in Lithuania. The results of the evaluation we</w:t>
      </w:r>
      <w:r>
        <w:rPr>
          <w:rFonts w:ascii="Times New Roman" w:eastAsia="Times New Roman" w:hAnsi="Times New Roman" w:cs="Times New Roman"/>
          <w:sz w:val="22"/>
        </w:rPr>
        <w:t>re presented in an evaluation report, which also contains evaluation recommendations. The evaluation report was presented at the public evaluation presentation event in December 2022. The relevant institutions were informed about the evaluation recommendat</w:t>
      </w:r>
      <w:r>
        <w:rPr>
          <w:rFonts w:ascii="Times New Roman" w:eastAsia="Times New Roman" w:hAnsi="Times New Roman" w:cs="Times New Roman"/>
          <w:sz w:val="22"/>
        </w:rPr>
        <w:t>ions intended for them.</w:t>
      </w:r>
    </w:p>
    <w:p w:rsidR="00A37E99" w:rsidRDefault="00E74D2D">
      <w:pPr>
        <w:spacing w:before="240" w:after="240"/>
        <w:jc w:val="both"/>
      </w:pPr>
      <w:r>
        <w:rPr>
          <w:rFonts w:ascii="Times New Roman" w:eastAsia="Times New Roman" w:hAnsi="Times New Roman" w:cs="Times New Roman"/>
          <w:sz w:val="22"/>
        </w:rPr>
        <w:t>The evaluation of the Baltic Research Programme was started and public procurement was launched in January 2023 and proposals are currently being assessed. The contract is planned to be signed in March 2023.</w:t>
      </w:r>
    </w:p>
    <w:p w:rsidR="00A37E99" w:rsidRDefault="00E74D2D">
      <w:r>
        <w:pict>
          <v:rect id="_x0000_i1025" style="width:468pt;height:1.5pt" o:hralign="center" o:hrstd="t" o:hr="t" fillcolor="gray" stroked="f">
            <v:path strokeok="f"/>
          </v:rect>
        </w:pict>
      </w:r>
    </w:p>
    <w:p w:rsidR="00A37E99" w:rsidRDefault="00E74D2D">
      <w:pPr>
        <w:spacing w:before="240" w:after="240"/>
      </w:pPr>
      <w:hyperlink w:anchor="_ftnref1" w:history="1">
        <w:bookmarkStart w:id="24" w:name="_ftn1"/>
        <w:r>
          <w:rPr>
            <w:rFonts w:ascii="Calibri" w:eastAsia="Calibri" w:hAnsi="Calibri" w:cs="Calibri"/>
            <w:color w:val="0000EE"/>
            <w:sz w:val="22"/>
            <w:u w:val="single" w:color="0000EE"/>
          </w:rPr>
          <w:t>[1]</w:t>
        </w:r>
      </w:hyperlink>
      <w:bookmarkEnd w:id="24"/>
      <w:r>
        <w:rPr>
          <w:rFonts w:ascii="Calibri" w:eastAsia="Calibri" w:hAnsi="Calibri" w:cs="Calibri"/>
          <w:sz w:val="22"/>
        </w:rPr>
        <w:t xml:space="preserve"> </w:t>
      </w:r>
      <w:r>
        <w:rPr>
          <w:rFonts w:ascii="Times New Roman" w:eastAsia="Times New Roman" w:hAnsi="Times New Roman" w:cs="Times New Roman"/>
          <w:sz w:val="18"/>
          <w:szCs w:val="18"/>
        </w:rPr>
        <w:t>Interim Evaluation of the European Economic Area and Norwegian Financial Mechanisms for Lithuania in the Programming Period 2014 - 2021</w:t>
      </w:r>
    </w:p>
    <w:p w:rsidR="00EF3CBA" w:rsidRPr="0038243F" w:rsidRDefault="00E74D2D" w:rsidP="00EF3CBA">
      <w:pPr>
        <w:pStyle w:val="Antrat1"/>
        <w:rPr>
          <w:rFonts w:cs="Arial"/>
        </w:rPr>
      </w:pPr>
      <w:bookmarkStart w:id="25" w:name="_Toc256000020"/>
      <w:r w:rsidRPr="0038243F">
        <w:rPr>
          <w:rFonts w:cs="Arial"/>
        </w:rPr>
        <w:t>7</w:t>
      </w:r>
      <w:r w:rsidR="00376A28" w:rsidRPr="0038243F">
        <w:rPr>
          <w:rFonts w:cs="Arial"/>
        </w:rPr>
        <w:t>.</w:t>
      </w:r>
      <w:r w:rsidR="00376A28" w:rsidRPr="0038243F">
        <w:rPr>
          <w:rFonts w:cs="Arial"/>
        </w:rPr>
        <w:tab/>
      </w:r>
      <w:r w:rsidR="000F2E5C" w:rsidRPr="0038243F">
        <w:rPr>
          <w:rFonts w:cs="Arial"/>
        </w:rPr>
        <w:t>Issues for the annual meeting</w:t>
      </w:r>
      <w:bookmarkEnd w:id="25"/>
    </w:p>
    <w:p w:rsidR="00376A28" w:rsidRPr="0038243F" w:rsidRDefault="00E74D2D" w:rsidP="00EF3CBA">
      <w:pPr>
        <w:pStyle w:val="Antrat1"/>
        <w:rPr>
          <w:rFonts w:cs="Arial"/>
        </w:rPr>
      </w:pPr>
      <w:bookmarkStart w:id="26" w:name="_Toc256000021"/>
      <w:r w:rsidRPr="0038243F">
        <w:rPr>
          <w:rFonts w:cs="Arial"/>
        </w:rPr>
        <w:t>ANNEXES</w:t>
      </w:r>
      <w:bookmarkEnd w:id="26"/>
      <w:bookmarkEnd w:id="21"/>
    </w:p>
    <w:p w:rsidR="00376A28" w:rsidRPr="00377711" w:rsidRDefault="00E74D2D" w:rsidP="00782196">
      <w:pPr>
        <w:ind w:left="357"/>
        <w:rPr>
          <w:rFonts w:cs="Arial"/>
          <w:b/>
          <w:color w:val="1F4E79" w:themeColor="accent1" w:themeShade="80"/>
        </w:rPr>
      </w:pPr>
      <w:bookmarkStart w:id="27" w:name="_Toc18006833"/>
      <w:r w:rsidRPr="00377711">
        <w:rPr>
          <w:rFonts w:cs="Arial"/>
          <w:b/>
          <w:color w:val="1F4E79" w:themeColor="accent1" w:themeShade="80"/>
        </w:rPr>
        <w:t xml:space="preserve">A. </w:t>
      </w:r>
      <w:bookmarkEnd w:id="27"/>
      <w:r w:rsidRPr="00377711">
        <w:rPr>
          <w:rFonts w:cs="Arial"/>
          <w:b/>
          <w:color w:val="1F4E79" w:themeColor="accent1" w:themeShade="80"/>
        </w:rPr>
        <w:t>Risk assessment and management plan</w:t>
      </w:r>
    </w:p>
    <w:p w:rsidR="0040431B" w:rsidRPr="00377711" w:rsidRDefault="00E74D2D" w:rsidP="00782196">
      <w:pPr>
        <w:ind w:left="357"/>
        <w:rPr>
          <w:rFonts w:cs="Arial"/>
          <w:b/>
          <w:color w:val="1F4E79" w:themeColor="accent1" w:themeShade="80"/>
        </w:rPr>
      </w:pPr>
      <w:bookmarkStart w:id="28" w:name="_Toc18006839"/>
      <w:r w:rsidRPr="00377711">
        <w:rPr>
          <w:rFonts w:cs="Arial"/>
          <w:b/>
          <w:color w:val="1F4E79" w:themeColor="accent1" w:themeShade="80"/>
        </w:rPr>
        <w:t>B</w:t>
      </w:r>
      <w:r w:rsidR="00376A28" w:rsidRPr="00377711">
        <w:rPr>
          <w:rFonts w:cs="Arial"/>
          <w:b/>
          <w:color w:val="1F4E79" w:themeColor="accent1" w:themeShade="80"/>
        </w:rPr>
        <w:t xml:space="preserve">. </w:t>
      </w:r>
      <w:bookmarkEnd w:id="28"/>
      <w:r w:rsidR="00A74994" w:rsidRPr="00377711">
        <w:rPr>
          <w:rFonts w:cs="Arial"/>
          <w:b/>
          <w:color w:val="1F4E79" w:themeColor="accent1" w:themeShade="80"/>
        </w:rPr>
        <w:t>Evaluation plan</w:t>
      </w:r>
    </w:p>
    <w:p w:rsidR="000F2E5C" w:rsidRPr="00377711" w:rsidRDefault="00E74D2D" w:rsidP="00782196">
      <w:pPr>
        <w:ind w:left="357"/>
        <w:rPr>
          <w:rFonts w:cs="Arial"/>
          <w:b/>
          <w:color w:val="1F4E79" w:themeColor="accent1" w:themeShade="80"/>
        </w:rPr>
      </w:pPr>
      <w:r w:rsidRPr="00377711">
        <w:rPr>
          <w:rFonts w:cs="Arial"/>
          <w:b/>
          <w:color w:val="1F4E79" w:themeColor="accent1" w:themeShade="80"/>
        </w:rPr>
        <w:t xml:space="preserve">C. </w:t>
      </w:r>
      <w:r w:rsidR="00A74994" w:rsidRPr="00377711">
        <w:rPr>
          <w:rFonts w:cs="Arial"/>
          <w:b/>
          <w:color w:val="1F4E79" w:themeColor="accent1" w:themeShade="80"/>
        </w:rPr>
        <w:t>Cooperation with Donor Programme Partners and</w:t>
      </w:r>
      <w:r w:rsidR="000231EB">
        <w:rPr>
          <w:rFonts w:cs="Arial"/>
          <w:b/>
          <w:color w:val="1F4E79" w:themeColor="accent1" w:themeShade="80"/>
        </w:rPr>
        <w:t>/or</w:t>
      </w:r>
      <w:r w:rsidR="00A74994" w:rsidRPr="00377711">
        <w:rPr>
          <w:rFonts w:cs="Arial"/>
          <w:b/>
          <w:color w:val="1F4E79" w:themeColor="accent1" w:themeShade="80"/>
        </w:rPr>
        <w:t xml:space="preserve"> International Partner Organisations</w:t>
      </w:r>
    </w:p>
    <w:p w:rsidR="000F2E5C" w:rsidRPr="00377711" w:rsidRDefault="00E74D2D" w:rsidP="00782196">
      <w:pPr>
        <w:ind w:left="357"/>
        <w:rPr>
          <w:rFonts w:cs="Arial"/>
          <w:b/>
          <w:color w:val="1F4E79" w:themeColor="accent1" w:themeShade="80"/>
        </w:rPr>
      </w:pPr>
      <w:r w:rsidRPr="00377711">
        <w:rPr>
          <w:rFonts w:cs="Arial"/>
          <w:b/>
          <w:color w:val="1F4E79" w:themeColor="accent1" w:themeShade="80"/>
        </w:rPr>
        <w:t>D. Technical assistance report</w:t>
      </w:r>
    </w:p>
    <w:p w:rsidR="000F2E5C" w:rsidRPr="00821196" w:rsidRDefault="00E74D2D" w:rsidP="00821196">
      <w:pPr>
        <w:ind w:left="357"/>
        <w:rPr>
          <w:rFonts w:cs="Arial"/>
          <w:b/>
          <w:color w:val="0070C0"/>
        </w:rPr>
        <w:sectPr w:rsidR="000F2E5C" w:rsidRPr="00821196" w:rsidSect="007C5E6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377711">
        <w:rPr>
          <w:rFonts w:cs="Arial"/>
          <w:b/>
          <w:color w:val="1F4E79" w:themeColor="accent1" w:themeShade="80"/>
        </w:rPr>
        <w:lastRenderedPageBreak/>
        <w:t>E</w:t>
      </w:r>
      <w:r w:rsidR="001F0918" w:rsidRPr="00377711">
        <w:rPr>
          <w:rFonts w:cs="Arial"/>
          <w:b/>
          <w:color w:val="1F4E79" w:themeColor="accent1" w:themeShade="80"/>
        </w:rPr>
        <w:t>. Communication summary</w:t>
      </w:r>
    </w:p>
    <w:p w:rsidR="00376A28" w:rsidRDefault="00E74D2D" w:rsidP="00692C53">
      <w:pPr>
        <w:pStyle w:val="Antrat2"/>
        <w:ind w:left="357"/>
      </w:pPr>
      <w:bookmarkStart w:id="29" w:name="_Toc256000022"/>
      <w:r>
        <w:lastRenderedPageBreak/>
        <w:t xml:space="preserve">Annex </w:t>
      </w:r>
      <w:r w:rsidR="00320F65">
        <w:t>A</w:t>
      </w:r>
      <w:r>
        <w:t>:</w:t>
      </w:r>
      <w:r w:rsidRPr="00376A28">
        <w:t xml:space="preserve"> Risk </w:t>
      </w:r>
      <w:r w:rsidR="00320F65">
        <w:t xml:space="preserve">assessment and </w:t>
      </w:r>
      <w:r w:rsidRPr="00376A28">
        <w:t>management</w:t>
      </w:r>
      <w:r w:rsidR="00320F65">
        <w:t xml:space="preserve"> plan</w:t>
      </w:r>
      <w:bookmarkEnd w:id="29"/>
    </w:p>
    <w:tbl>
      <w:tblPr>
        <w:tblStyle w:val="tablebordered"/>
        <w:tblW w:w="139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3497"/>
        <w:gridCol w:w="3497"/>
        <w:gridCol w:w="3497"/>
        <w:gridCol w:w="3497"/>
      </w:tblGrid>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LT-JUSTICE</w:t>
            </w:r>
          </w:p>
        </w:tc>
        <w:tc>
          <w:tcPr>
            <w:tcW w:w="0" w:type="auto"/>
            <w:tcBorders>
              <w:top w:val="single" w:sz="6" w:space="0" w:color="000000"/>
              <w:left w:val="single" w:sz="6" w:space="0" w:color="000000"/>
              <w:bottom w:val="single" w:sz="6" w:space="0" w:color="000000"/>
              <w:right w:val="single" w:sz="6" w:space="0" w:color="000000"/>
            </w:tcBorders>
            <w:shd w:val="clear" w:color="auto" w:fill="FFC000"/>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3</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Possible delays due to the public procurement process.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A constant supervision of the </w:t>
            </w:r>
            <w:r>
              <w:rPr>
                <w:rFonts w:ascii="Calibri" w:eastAsia="Calibri" w:hAnsi="Calibri" w:cs="Calibri"/>
                <w:color w:val="000000"/>
              </w:rPr>
              <w:t>processes until the construction contracts are signed.</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Ex-ante assessment of procurement documents, providing consultations and advice to the project promoter on public procurements.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Ex-ante assessment of procurement documents, providing consultations and </w:t>
            </w:r>
            <w:r>
              <w:rPr>
                <w:rFonts w:ascii="Calibri" w:eastAsia="Calibri" w:hAnsi="Calibri" w:cs="Calibri"/>
                <w:color w:val="000000"/>
              </w:rPr>
              <w:t>advice to the project promoter on public procurements.</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Possible inefficient programme management at any level due to a sub-optimal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PDPs of all programmes and most open calls have already been contracted, regular common coordination me</w:t>
            </w:r>
            <w:r>
              <w:rPr>
                <w:rFonts w:ascii="Calibri" w:eastAsia="Calibri" w:hAnsi="Calibri" w:cs="Calibri"/>
                <w:color w:val="000000"/>
              </w:rPr>
              <w:t>etings are not 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Several coordination meetings organised in 2022.</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Regular common coordination meetings in the future to mitigate risk of not absorbing all funds and not achieving some targets.</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Price increas</w:t>
            </w:r>
            <w:r>
              <w:rPr>
                <w:rFonts w:ascii="Calibri" w:eastAsia="Calibri" w:hAnsi="Calibri" w:cs="Calibri"/>
                <w:color w:val="000000"/>
              </w:rPr>
              <w:t>e for construction materials.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Allocation of reserve funds, thus creating a safety pillow for possible price increases.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Constantly conducting market research related to the price assessment of construction materials, allocation of reserve funds.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In the even</w:t>
            </w:r>
            <w:r>
              <w:rPr>
                <w:rFonts w:ascii="Calibri" w:eastAsia="Calibri" w:hAnsi="Calibri" w:cs="Calibri"/>
                <w:color w:val="000000"/>
              </w:rPr>
              <w:t>t of an increase in the price of construction materials, other expenditure categories are/will be reviewed and, if necessary, savings are/will be transferred to cover the increased prices.</w:t>
            </w:r>
          </w:p>
        </w:tc>
      </w:tr>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LT-INNOVATION</w:t>
            </w:r>
          </w:p>
        </w:tc>
        <w:tc>
          <w:tcPr>
            <w:tcW w:w="0" w:type="auto"/>
            <w:tcBorders>
              <w:top w:val="single" w:sz="6" w:space="0" w:color="000000"/>
              <w:left w:val="single" w:sz="6" w:space="0" w:color="000000"/>
              <w:bottom w:val="single" w:sz="6" w:space="0" w:color="000000"/>
              <w:right w:val="single" w:sz="6" w:space="0" w:color="000000"/>
            </w:tcBorders>
            <w:shd w:val="clear" w:color="auto" w:fill="548235"/>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1</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 xml:space="preserve">Previously planned </w:t>
            </w:r>
            <w:r>
              <w:rPr>
                <w:rFonts w:ascii="Calibri" w:eastAsia="Calibri" w:hAnsi="Calibri" w:cs="Calibri"/>
                <w:color w:val="000000"/>
              </w:rPr>
              <w:t>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Possible inefficient programme management at any level due to a sub-optimal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PDPs of all programmes and most open calls have already been contracted, regular common coordination meetings</w:t>
            </w:r>
            <w:r>
              <w:rPr>
                <w:rFonts w:ascii="Calibri" w:eastAsia="Calibri" w:hAnsi="Calibri" w:cs="Calibri"/>
                <w:color w:val="000000"/>
              </w:rPr>
              <w:t xml:space="preserve"> are not 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Ongoing communication with PO. Participation in Cooperation Committee meetings.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Since PDPs of all programmes and most open calls have already been contracted, regular common coordination meetings </w:t>
            </w:r>
            <w:r>
              <w:rPr>
                <w:rFonts w:ascii="Calibri" w:eastAsia="Calibri" w:hAnsi="Calibri" w:cs="Calibri"/>
                <w:color w:val="000000"/>
              </w:rPr>
              <w:t>are not needed in the future and will be organised ad hoc.</w:t>
            </w:r>
          </w:p>
        </w:tc>
      </w:tr>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LT-ENVIRONMENT</w:t>
            </w:r>
          </w:p>
        </w:tc>
        <w:tc>
          <w:tcPr>
            <w:tcW w:w="0" w:type="auto"/>
            <w:tcBorders>
              <w:top w:val="single" w:sz="6" w:space="0" w:color="000000"/>
              <w:left w:val="single" w:sz="6" w:space="0" w:color="000000"/>
              <w:bottom w:val="single" w:sz="6" w:space="0" w:color="000000"/>
              <w:right w:val="single" w:sz="6" w:space="0" w:color="000000"/>
            </w:tcBorders>
            <w:shd w:val="clear" w:color="auto" w:fill="548235"/>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1</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lastRenderedPageBreak/>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Possible inefficient programme management at any level due to a sub-optimal </w:t>
            </w:r>
            <w:r>
              <w:rPr>
                <w:rFonts w:ascii="Calibri" w:eastAsia="Calibri" w:hAnsi="Calibri" w:cs="Calibri"/>
                <w:color w:val="000000"/>
              </w:rPr>
              <w:t>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PDPs of all programmes and most open calls have already been contracted, regular common coordination meetings are not 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Ongoing communication with PO. Ad hoc meetings with PO and nationa</w:t>
            </w:r>
            <w:r>
              <w:rPr>
                <w:rFonts w:ascii="Calibri" w:eastAsia="Calibri" w:hAnsi="Calibri" w:cs="Calibri"/>
                <w:color w:val="000000"/>
              </w:rPr>
              <w:t>l Programme partner. Participation in Programme Committee meetings.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PDPs of all programmes and most open calls have already been contracted, regular common coordination meetings are not needed in the future and will be organised ad hoc.</w:t>
            </w:r>
          </w:p>
        </w:tc>
      </w:tr>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LT-RESEARCH</w:t>
            </w:r>
          </w:p>
        </w:tc>
        <w:tc>
          <w:tcPr>
            <w:tcW w:w="0" w:type="auto"/>
            <w:tcBorders>
              <w:top w:val="single" w:sz="6" w:space="0" w:color="000000"/>
              <w:left w:val="single" w:sz="6" w:space="0" w:color="000000"/>
              <w:bottom w:val="single" w:sz="6" w:space="0" w:color="000000"/>
              <w:right w:val="single" w:sz="6" w:space="0" w:color="000000"/>
            </w:tcBorders>
            <w:shd w:val="clear" w:color="auto" w:fill="548235"/>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1</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Possible inefficient programme management at any level due to a sub-optimal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Since PDPs of all programmes and most open calls have already </w:t>
            </w:r>
            <w:r>
              <w:rPr>
                <w:rFonts w:ascii="Calibri" w:eastAsia="Calibri" w:hAnsi="Calibri" w:cs="Calibri"/>
                <w:color w:val="000000"/>
              </w:rPr>
              <w:t>been contracted, regular common coordination meetings are not 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spacing w:after="0"/>
              <w:ind w:left="108" w:right="108"/>
              <w:rPr>
                <w:rFonts w:ascii="Calibri" w:eastAsia="Calibri" w:hAnsi="Calibri" w:cs="Calibri"/>
                <w:color w:val="000000"/>
              </w:rPr>
            </w:pPr>
            <w:r>
              <w:rPr>
                <w:rFonts w:ascii="Calibri" w:eastAsia="Calibri" w:hAnsi="Calibri" w:cs="Calibri"/>
                <w:color w:val="000000"/>
              </w:rPr>
              <w:t>Several coordination meetings organised in 2022, with participation PO from Baltic countries and donors.</w:t>
            </w:r>
          </w:p>
          <w:p w:rsidR="00A37E99" w:rsidRDefault="00E74D2D">
            <w:pPr>
              <w:spacing w:after="0"/>
              <w:ind w:left="108" w:right="108"/>
              <w:rPr>
                <w:rFonts w:ascii="Calibri" w:eastAsia="Calibri" w:hAnsi="Calibri" w:cs="Calibri"/>
                <w:color w:val="000000"/>
              </w:rPr>
            </w:pPr>
            <w:r>
              <w:rPr>
                <w:rFonts w:ascii="Calibri" w:eastAsia="Calibri" w:hAnsi="Calibri" w:cs="Calibri"/>
                <w:color w:val="000000"/>
              </w:rPr>
              <w:t>Participation in Cooperation Committee</w:t>
            </w:r>
            <w:r>
              <w:rPr>
                <w:rFonts w:ascii="Calibri" w:eastAsia="Calibri" w:hAnsi="Calibri" w:cs="Calibri"/>
                <w:color w:val="000000"/>
              </w:rPr>
              <w:t xml:space="preserve"> meetings.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PDPs of all programmes and most open calls have already been contracted, regular common coordination meetings are not needed in the future and will be organised ad hoc.</w:t>
            </w:r>
          </w:p>
        </w:tc>
      </w:tr>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LT-HEALTH</w:t>
            </w:r>
          </w:p>
        </w:tc>
        <w:tc>
          <w:tcPr>
            <w:tcW w:w="0" w:type="auto"/>
            <w:tcBorders>
              <w:top w:val="single" w:sz="6" w:space="0" w:color="000000"/>
              <w:left w:val="single" w:sz="6" w:space="0" w:color="000000"/>
              <w:bottom w:val="single" w:sz="6" w:space="0" w:color="000000"/>
              <w:right w:val="single" w:sz="6" w:space="0" w:color="000000"/>
            </w:tcBorders>
            <w:shd w:val="clear" w:color="auto" w:fill="548235"/>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1</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Possible inefficient programme management at any level due to a sub-optimal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Since PDPs of all programmes and most open calls have already been contracted, regular common coordination meetings are not </w:t>
            </w:r>
            <w:r>
              <w:rPr>
                <w:rFonts w:ascii="Calibri" w:eastAsia="Calibri" w:hAnsi="Calibri" w:cs="Calibri"/>
                <w:color w:val="000000"/>
              </w:rPr>
              <w:t>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Ongoing communication with PO. Ad hoc meetings with PO and national Programme partners. Participation in Cooperation Committee meetings.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Since all PDPs and all open calls of the Programme have already been</w:t>
            </w:r>
            <w:r>
              <w:rPr>
                <w:rFonts w:ascii="Calibri" w:eastAsia="Calibri" w:hAnsi="Calibri" w:cs="Calibri"/>
                <w:color w:val="000000"/>
              </w:rPr>
              <w:t xml:space="preserve"> contracted, regular common coordination meetings are not needed in the future and will be organised ad hoc.</w:t>
            </w:r>
          </w:p>
        </w:tc>
      </w:tr>
      <w:tr w:rsidR="00A37E99">
        <w:tc>
          <w:tcPr>
            <w:tcW w:w="0" w:type="auto"/>
            <w:gridSpan w:val="3"/>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leftdiv"/>
              <w:pBdr>
                <w:left w:val="none" w:sz="0" w:space="5" w:color="auto"/>
                <w:right w:val="none" w:sz="0" w:space="5" w:color="auto"/>
              </w:pBdr>
              <w:spacing w:after="0"/>
              <w:ind w:left="108" w:right="108"/>
              <w:rPr>
                <w:rFonts w:ascii="Calibri" w:eastAsia="Calibri" w:hAnsi="Calibri" w:cs="Calibri"/>
                <w:b/>
                <w:bCs/>
                <w:color w:val="000000"/>
              </w:rPr>
            </w:pPr>
            <w:r>
              <w:rPr>
                <w:rFonts w:ascii="Calibri" w:eastAsia="Calibri" w:hAnsi="Calibri" w:cs="Calibri"/>
                <w:b/>
                <w:bCs/>
                <w:color w:val="000000"/>
              </w:rPr>
              <w:t>LT-CULTURE</w:t>
            </w:r>
          </w:p>
        </w:tc>
        <w:tc>
          <w:tcPr>
            <w:tcW w:w="0" w:type="auto"/>
            <w:tcBorders>
              <w:top w:val="single" w:sz="6" w:space="0" w:color="000000"/>
              <w:left w:val="single" w:sz="6" w:space="0" w:color="000000"/>
              <w:bottom w:val="single" w:sz="6" w:space="0" w:color="000000"/>
              <w:right w:val="single" w:sz="6" w:space="0" w:color="000000"/>
            </w:tcBorders>
            <w:shd w:val="clear" w:color="auto" w:fill="548235"/>
            <w:tcMar>
              <w:top w:w="8" w:type="dxa"/>
              <w:left w:w="8" w:type="dxa"/>
              <w:bottom w:w="8" w:type="dxa"/>
              <w:right w:w="8" w:type="dxa"/>
            </w:tcMar>
            <w:vAlign w:val="center"/>
            <w:hideMark/>
          </w:tcPr>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Overall level of risk</w:t>
            </w:r>
          </w:p>
          <w:p w:rsidR="00A37E99" w:rsidRDefault="00E74D2D">
            <w:pPr>
              <w:spacing w:after="0"/>
              <w:ind w:left="108" w:right="108"/>
              <w:jc w:val="center"/>
              <w:rPr>
                <w:rFonts w:ascii="Calibri" w:eastAsia="Calibri" w:hAnsi="Calibri" w:cs="Calibri"/>
                <w:b/>
                <w:bCs/>
                <w:color w:val="000000"/>
              </w:rPr>
            </w:pPr>
            <w:r>
              <w:rPr>
                <w:rFonts w:ascii="Calibri" w:eastAsia="Calibri" w:hAnsi="Calibri" w:cs="Calibri"/>
                <w:b/>
                <w:bCs/>
                <w:color w:val="000000"/>
              </w:rPr>
              <w:t>1</w:t>
            </w:r>
          </w:p>
        </w:tc>
      </w:tr>
      <w:tr w:rsidR="00A37E99">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Risks</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Previously planned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Actual response</w:t>
            </w:r>
          </w:p>
        </w:tc>
        <w:tc>
          <w:tcPr>
            <w:tcW w:w="12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hdiv"/>
              <w:spacing w:after="0"/>
              <w:ind w:left="108" w:right="108"/>
              <w:rPr>
                <w:rFonts w:ascii="Calibri" w:eastAsia="Calibri" w:hAnsi="Calibri" w:cs="Calibri"/>
                <w:color w:val="000000"/>
              </w:rPr>
            </w:pPr>
            <w:r>
              <w:rPr>
                <w:rFonts w:ascii="Calibri" w:eastAsia="Calibri" w:hAnsi="Calibri" w:cs="Calibri"/>
                <w:color w:val="000000"/>
              </w:rPr>
              <w:t>Planned future response</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Possible inefficient programme </w:t>
            </w:r>
            <w:r>
              <w:rPr>
                <w:rFonts w:ascii="Calibri" w:eastAsia="Calibri" w:hAnsi="Calibri" w:cs="Calibri"/>
                <w:color w:val="000000"/>
              </w:rPr>
              <w:t>management at any level due to a sub-optimal communication.</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t xml:space="preserve">Since PDPs of all programmes and most open calls have already been contracted, regular common </w:t>
            </w:r>
            <w:r>
              <w:rPr>
                <w:rFonts w:ascii="Calibri" w:eastAsia="Calibri" w:hAnsi="Calibri" w:cs="Calibri"/>
                <w:color w:val="000000"/>
              </w:rPr>
              <w:lastRenderedPageBreak/>
              <w:t>coordination meetings are not needed in the future and will be organised ad hoc.</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lastRenderedPageBreak/>
              <w:t>Ongoing communication</w:t>
            </w:r>
            <w:r>
              <w:rPr>
                <w:rFonts w:ascii="Calibri" w:eastAsia="Calibri" w:hAnsi="Calibri" w:cs="Calibri"/>
                <w:color w:val="000000"/>
              </w:rPr>
              <w:t xml:space="preserve"> with PO. Ad hoc meetings with PO and national Programme partner. Participation in </w:t>
            </w:r>
            <w:r>
              <w:rPr>
                <w:rFonts w:ascii="Calibri" w:eastAsia="Calibri" w:hAnsi="Calibri" w:cs="Calibri"/>
                <w:color w:val="000000"/>
              </w:rPr>
              <w:lastRenderedPageBreak/>
              <w:t>Cooperation Committee meetings.</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Bdr>
                <w:left w:val="none" w:sz="0" w:space="5" w:color="auto"/>
                <w:right w:val="none" w:sz="0" w:space="5" w:color="auto"/>
              </w:pBdr>
              <w:spacing w:after="0"/>
              <w:ind w:left="108" w:right="108"/>
              <w:rPr>
                <w:rFonts w:ascii="Calibri" w:eastAsia="Calibri" w:hAnsi="Calibri" w:cs="Calibri"/>
                <w:color w:val="000000"/>
              </w:rPr>
            </w:pPr>
            <w:r>
              <w:rPr>
                <w:rFonts w:ascii="Calibri" w:eastAsia="Calibri" w:hAnsi="Calibri" w:cs="Calibri"/>
                <w:color w:val="000000"/>
              </w:rPr>
              <w:lastRenderedPageBreak/>
              <w:t xml:space="preserve">Since PDP and all open calls of the Programme have already been contracted, regular common </w:t>
            </w:r>
            <w:r>
              <w:rPr>
                <w:rFonts w:ascii="Calibri" w:eastAsia="Calibri" w:hAnsi="Calibri" w:cs="Calibri"/>
                <w:color w:val="000000"/>
              </w:rPr>
              <w:lastRenderedPageBreak/>
              <w:t>coordination meetings are not needed in the future</w:t>
            </w:r>
            <w:r>
              <w:rPr>
                <w:rFonts w:ascii="Calibri" w:eastAsia="Calibri" w:hAnsi="Calibri" w:cs="Calibri"/>
                <w:color w:val="000000"/>
              </w:rPr>
              <w:t xml:space="preserve"> and will be organised ad hoc.</w:t>
            </w:r>
          </w:p>
        </w:tc>
      </w:tr>
    </w:tbl>
    <w:p w:rsidR="00A37E99" w:rsidRDefault="00A37E99">
      <w:pPr>
        <w:sectPr w:rsidR="00A37E99" w:rsidSect="00693B74">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417" w:bottom="1417" w:left="1417" w:header="708" w:footer="708" w:gutter="0"/>
          <w:cols w:space="708"/>
          <w:docGrid w:linePitch="360"/>
        </w:sectPr>
      </w:pPr>
    </w:p>
    <w:p w:rsidR="00376A28" w:rsidRPr="00376A28" w:rsidRDefault="00E74D2D" w:rsidP="00B63EAD">
      <w:pPr>
        <w:pStyle w:val="Antrat2"/>
        <w:ind w:left="357"/>
      </w:pPr>
      <w:bookmarkStart w:id="30" w:name="_Toc256000023"/>
      <w:r>
        <w:lastRenderedPageBreak/>
        <w:t xml:space="preserve">Annex </w:t>
      </w:r>
      <w:r w:rsidR="00FA23AE">
        <w:t>B</w:t>
      </w:r>
      <w:r>
        <w:t>:</w:t>
      </w:r>
      <w:r w:rsidRPr="00376A28">
        <w:t xml:space="preserve"> </w:t>
      </w:r>
      <w:r w:rsidR="00891074">
        <w:t>Evaluation plan</w:t>
      </w:r>
      <w:bookmarkEnd w:id="30"/>
    </w:p>
    <w:p w:rsidR="00452556" w:rsidRPr="00376A28" w:rsidRDefault="00E74D2D" w:rsidP="00891074">
      <w:pPr>
        <w:ind w:left="357"/>
        <w:sectPr w:rsidR="00452556" w:rsidRPr="00376A28" w:rsidSect="00433F0C">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t xml:space="preserve">Please note this Annex is uploaded separately and is not visible in this </w:t>
      </w:r>
      <w:r>
        <w:t>document. Please download and print separately if needed.</w:t>
      </w:r>
    </w:p>
    <w:p w:rsidR="00376A28" w:rsidRDefault="00E74D2D" w:rsidP="00692C53">
      <w:pPr>
        <w:pStyle w:val="Antrat2"/>
        <w:ind w:left="357"/>
      </w:pPr>
      <w:bookmarkStart w:id="31" w:name="_Toc256000024"/>
      <w:r>
        <w:lastRenderedPageBreak/>
        <w:t xml:space="preserve">Annex </w:t>
      </w:r>
      <w:r w:rsidR="00D44F56">
        <w:t>C</w:t>
      </w:r>
      <w:r>
        <w:t>:</w:t>
      </w:r>
      <w:r w:rsidRPr="00376A28">
        <w:t xml:space="preserve"> </w:t>
      </w:r>
      <w:r w:rsidR="00D44F56" w:rsidRPr="00D44F56">
        <w:t>Cooperation with Donor Programme Partners and</w:t>
      </w:r>
      <w:r w:rsidR="000E37DA">
        <w:rPr>
          <w:lang w:val="bg-BG"/>
        </w:rPr>
        <w:t>/</w:t>
      </w:r>
      <w:r w:rsidR="000E37DA">
        <w:rPr>
          <w:lang w:val="en-US"/>
        </w:rPr>
        <w:t>or</w:t>
      </w:r>
      <w:r w:rsidR="00D44F56" w:rsidRPr="00D44F56">
        <w:t xml:space="preserve"> International Partner Organisations</w:t>
      </w:r>
      <w:bookmarkEnd w:id="31"/>
    </w:p>
    <w:p w:rsidR="00A37E99" w:rsidRDefault="00E74D2D">
      <w:pPr>
        <w:spacing w:after="240"/>
        <w:jc w:val="both"/>
      </w:pPr>
      <w:r>
        <w:rPr>
          <w:rFonts w:ascii="Times New Roman" w:eastAsia="Times New Roman" w:hAnsi="Times New Roman" w:cs="Times New Roman"/>
          <w:sz w:val="22"/>
        </w:rPr>
        <w:t>DPPs and international programme organization(-s) (hereinafter-IPO(-s)) of all the programmes provided a</w:t>
      </w:r>
      <w:r>
        <w:rPr>
          <w:rFonts w:ascii="Times New Roman" w:eastAsia="Times New Roman" w:hAnsi="Times New Roman" w:cs="Times New Roman"/>
          <w:sz w:val="22"/>
        </w:rPr>
        <w:t>n invaluable input in the preparation of the Concept Notes, proactively participating in the process in the most effective manner and sharing their experience and insights with the Lithuanian PPs and POs. As the implementation of the Financial Mechanisms h</w:t>
      </w:r>
      <w:r>
        <w:rPr>
          <w:rFonts w:ascii="Times New Roman" w:eastAsia="Times New Roman" w:hAnsi="Times New Roman" w:cs="Times New Roman"/>
          <w:sz w:val="22"/>
        </w:rPr>
        <w:t>ave moved from the programme preparation to the project stage, the participation of donor programme partners is still strong and valuable, and a vivid work of the Programme Cooperation Committees is the channel of sharing good experience at every level.</w:t>
      </w:r>
    </w:p>
    <w:p w:rsidR="00A37E99" w:rsidRDefault="00E74D2D">
      <w:pPr>
        <w:spacing w:before="240" w:after="240"/>
        <w:jc w:val="both"/>
      </w:pPr>
      <w:r>
        <w:rPr>
          <w:rFonts w:ascii="Times New Roman" w:eastAsia="Times New Roman" w:hAnsi="Times New Roman" w:cs="Times New Roman"/>
          <w:sz w:val="22"/>
        </w:rPr>
        <w:t>So</w:t>
      </w:r>
      <w:r>
        <w:rPr>
          <w:rFonts w:ascii="Times New Roman" w:eastAsia="Times New Roman" w:hAnsi="Times New Roman" w:cs="Times New Roman"/>
          <w:sz w:val="22"/>
        </w:rPr>
        <w:t>me examples of good practice:</w:t>
      </w:r>
    </w:p>
    <w:p w:rsidR="00A37E99" w:rsidRDefault="00E74D2D">
      <w:pPr>
        <w:spacing w:before="240" w:after="240"/>
        <w:jc w:val="both"/>
      </w:pPr>
      <w:r>
        <w:rPr>
          <w:rFonts w:ascii="Times New Roman" w:eastAsia="Times New Roman" w:hAnsi="Times New Roman" w:cs="Times New Roman"/>
          <w:sz w:val="22"/>
        </w:rPr>
        <w:t>The SYNERGY Network against Gender-based and Domestic Violence brings together governmental and non-governmental stakeholders from all relevant programmes under different priority areas of the EEA/NG, which address gender-base</w:t>
      </w:r>
      <w:r>
        <w:rPr>
          <w:rFonts w:ascii="Times New Roman" w:eastAsia="Times New Roman" w:hAnsi="Times New Roman" w:cs="Times New Roman"/>
          <w:sz w:val="22"/>
        </w:rPr>
        <w:t>d and domestic violence. The Lithuanian Justice and Home Affairs Programme participation in the Network is funded by the Bilateral Fund.</w:t>
      </w:r>
    </w:p>
    <w:p w:rsidR="00A37E99" w:rsidRDefault="00E74D2D">
      <w:pPr>
        <w:spacing w:before="240" w:after="240"/>
        <w:jc w:val="both"/>
      </w:pPr>
      <w:r>
        <w:rPr>
          <w:rFonts w:ascii="Times New Roman" w:eastAsia="Times New Roman" w:hAnsi="Times New Roman" w:cs="Times New Roman"/>
          <w:sz w:val="22"/>
        </w:rPr>
        <w:t>In 2022, the CoE organised and partially funded two conferences for SYNERGY Network members on Digital Dimension of Vio</w:t>
      </w:r>
      <w:r>
        <w:rPr>
          <w:rFonts w:ascii="Times New Roman" w:eastAsia="Times New Roman" w:hAnsi="Times New Roman" w:cs="Times New Roman"/>
          <w:sz w:val="22"/>
        </w:rPr>
        <w:t xml:space="preserve">lence against Women and on the protection of asylum seeking, migrant and refugee women and girls. In November, a Study Visit to Strasbourg was organised to discuss intersectional concerns when addressing violence against women in Norway Grants programmes, </w:t>
      </w:r>
      <w:r>
        <w:rPr>
          <w:rFonts w:ascii="Times New Roman" w:eastAsia="Times New Roman" w:hAnsi="Times New Roman" w:cs="Times New Roman"/>
          <w:sz w:val="22"/>
        </w:rPr>
        <w:t>focusing specifically on Roma communities.</w:t>
      </w:r>
    </w:p>
    <w:p w:rsidR="00A37E99" w:rsidRDefault="00E74D2D">
      <w:pPr>
        <w:spacing w:before="240" w:after="240"/>
        <w:jc w:val="both"/>
      </w:pPr>
      <w:r>
        <w:rPr>
          <w:rFonts w:ascii="Calibri" w:eastAsia="Calibri" w:hAnsi="Calibri" w:cs="Calibri"/>
          <w:sz w:val="22"/>
        </w:rPr>
        <w:t> </w:t>
      </w:r>
      <w:r>
        <w:rPr>
          <w:rFonts w:ascii="Times New Roman" w:eastAsia="Times New Roman" w:hAnsi="Times New Roman" w:cs="Times New Roman"/>
          <w:sz w:val="22"/>
        </w:rPr>
        <w:t xml:space="preserve">A follow up 2023 SYNERGY conference and meeting will be held in Sofia in June 2023, involving the Programme. To achieve the indicator ”Number of joint best practice events organized“, three workshops (two in </w:t>
      </w:r>
      <w:r>
        <w:rPr>
          <w:rFonts w:ascii="Times New Roman" w:eastAsia="Times New Roman" w:hAnsi="Times New Roman" w:cs="Times New Roman"/>
          <w:sz w:val="22"/>
        </w:rPr>
        <w:t>Lithuania and one in Norway) were organized under project LT-JUSTICE-0004 together with Oslo Police District on topics ”Is domestic violence more than a private matter?“, ”Do we satisfy the needs of those going through the criminal justice process?“ and ”U</w:t>
      </w:r>
      <w:r>
        <w:rPr>
          <w:rFonts w:ascii="Times New Roman" w:eastAsia="Times New Roman" w:hAnsi="Times New Roman" w:cs="Times New Roman"/>
          <w:sz w:val="22"/>
        </w:rPr>
        <w:t>nifying investigative &amp; protective strategies on domestic violence through leadership“. The aim of the workshops was to share and exchange knowledge, challenges, and experiences in the work with cases concerning domestic violence.</w:t>
      </w:r>
    </w:p>
    <w:p w:rsidR="00A37E99" w:rsidRDefault="00E74D2D">
      <w:pPr>
        <w:spacing w:before="240" w:after="240"/>
        <w:jc w:val="both"/>
        <w:sectPr w:rsidR="00A37E99" w:rsidSect="0058388E">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pPr>
      <w:r>
        <w:rPr>
          <w:rFonts w:ascii="Calibri" w:eastAsia="Calibri" w:hAnsi="Calibri" w:cs="Calibri"/>
          <w:sz w:val="22"/>
        </w:rPr>
        <w:t> </w:t>
      </w:r>
      <w:r>
        <w:rPr>
          <w:rFonts w:ascii="Times New Roman" w:eastAsia="Times New Roman" w:hAnsi="Times New Roman" w:cs="Times New Roman"/>
          <w:sz w:val="22"/>
        </w:rPr>
        <w:t>In addition, the CoE representatives took part in the Cooperation Committee meeting last year as IPO. The CoE is also a part of three thematic Working Groups under PA 19 on (i) prison and probation i</w:t>
      </w:r>
      <w:r>
        <w:rPr>
          <w:rFonts w:ascii="Times New Roman" w:eastAsia="Times New Roman" w:hAnsi="Times New Roman" w:cs="Times New Roman"/>
          <w:sz w:val="22"/>
        </w:rPr>
        <w:t>mprovements through conferences and seminars, (ii) training and development of prison and probation staff and (iii) evaluation of activities and indicators. These working groups were put in place in 2019 at Norwegian Correctional Service’s initiative inclu</w:t>
      </w:r>
      <w:r>
        <w:rPr>
          <w:rFonts w:ascii="Times New Roman" w:eastAsia="Times New Roman" w:hAnsi="Times New Roman" w:cs="Times New Roman"/>
          <w:sz w:val="22"/>
        </w:rPr>
        <w:t>ding partners from Bulgaria, Czech Republic, Latvia, Lithuania, Poland and Romania and several sessions were organised to date (two in April and May 2022). The CoE was invited to support and participated in the working group sessions, advising on human rig</w:t>
      </w:r>
      <w:r>
        <w:rPr>
          <w:rFonts w:ascii="Times New Roman" w:eastAsia="Times New Roman" w:hAnsi="Times New Roman" w:cs="Times New Roman"/>
          <w:sz w:val="22"/>
        </w:rPr>
        <w:t xml:space="preserve">ht standards in the prison and probation field and sharing its experience in running similar projects. Its aim is to discuss and agree on a common streamlined approach and to reinforce the synergies between all countries. In addition, in October 2022, the </w:t>
      </w:r>
      <w:r>
        <w:rPr>
          <w:rFonts w:ascii="Times New Roman" w:eastAsia="Times New Roman" w:hAnsi="Times New Roman" w:cs="Times New Roman"/>
          <w:sz w:val="22"/>
        </w:rPr>
        <w:t>Norwegian Correctional Service organised an international conference on Correctional Service world-wide (with all beneficiary countries) and CPT Secretariat as well as CPDL were invited to present the work in the relevant sectors.</w:t>
      </w:r>
    </w:p>
    <w:p w:rsidR="00376A28" w:rsidRPr="00376A28" w:rsidRDefault="00E74D2D" w:rsidP="00B63EAD">
      <w:pPr>
        <w:pStyle w:val="Antrat2"/>
        <w:ind w:left="357"/>
      </w:pPr>
      <w:bookmarkStart w:id="32" w:name="_Toc256000025"/>
      <w:r>
        <w:lastRenderedPageBreak/>
        <w:t xml:space="preserve">Annex </w:t>
      </w:r>
      <w:r w:rsidR="001B7394">
        <w:t>D</w:t>
      </w:r>
      <w:r>
        <w:t>:</w:t>
      </w:r>
      <w:r w:rsidRPr="00376A28">
        <w:t xml:space="preserve"> </w:t>
      </w:r>
      <w:r w:rsidR="00FA7BAD" w:rsidRPr="00FA7BAD">
        <w:t>Technical assistance report</w:t>
      </w:r>
      <w:bookmarkEnd w:id="32"/>
    </w:p>
    <w:p w:rsidR="00FF3ABD" w:rsidRDefault="00E74D2D" w:rsidP="00B63EAD">
      <w:pPr>
        <w:pStyle w:val="Antrat3"/>
        <w:ind w:left="357"/>
      </w:pPr>
      <w:bookmarkStart w:id="33" w:name="_Toc256000026"/>
      <w:r>
        <w:t>Overview of main activities</w:t>
      </w:r>
      <w:bookmarkEnd w:id="33"/>
    </w:p>
    <w:p w:rsidR="00A37E99" w:rsidRDefault="00E74D2D">
      <w:pPr>
        <w:spacing w:after="240"/>
      </w:pPr>
      <w:r>
        <w:rPr>
          <w:rFonts w:ascii="Times New Roman" w:eastAsia="Times New Roman" w:hAnsi="Times New Roman" w:cs="Times New Roman"/>
          <w:sz w:val="22"/>
        </w:rPr>
        <w:t>Overview of the main activities</w:t>
      </w:r>
    </w:p>
    <w:p w:rsidR="00A37E99" w:rsidRDefault="00E74D2D">
      <w:pPr>
        <w:spacing w:before="240" w:after="240"/>
        <w:jc w:val="both"/>
      </w:pPr>
      <w:r>
        <w:rPr>
          <w:rFonts w:ascii="Times New Roman" w:eastAsia="Times New Roman" w:hAnsi="Times New Roman" w:cs="Times New Roman"/>
          <w:sz w:val="22"/>
        </w:rPr>
        <w:t>The Investment Department of the MoF, as the NFP, participated in the meetings with the donor states and the FMO, other Beneficiary States related to the implementation and administrat</w:t>
      </w:r>
      <w:r>
        <w:rPr>
          <w:rFonts w:ascii="Times New Roman" w:eastAsia="Times New Roman" w:hAnsi="Times New Roman" w:cs="Times New Roman"/>
          <w:sz w:val="22"/>
        </w:rPr>
        <w:t xml:space="preserve">ion of the Financial Mechanisms outside Lithuania.  Also, meetings are organised every other month with the FMO to discuss the issues related to communication. </w:t>
      </w:r>
    </w:p>
    <w:p w:rsidR="00A37E99" w:rsidRDefault="00E74D2D">
      <w:pPr>
        <w:spacing w:before="240" w:after="240"/>
        <w:jc w:val="both"/>
      </w:pPr>
      <w:r>
        <w:rPr>
          <w:rFonts w:ascii="Times New Roman" w:eastAsia="Times New Roman" w:hAnsi="Times New Roman" w:cs="Times New Roman"/>
          <w:sz w:val="22"/>
        </w:rPr>
        <w:t>During the reporting period, the Centralised Internal Audit Division of the MoF, as the AA, per</w:t>
      </w:r>
      <w:r>
        <w:rPr>
          <w:rFonts w:ascii="Times New Roman" w:eastAsia="Times New Roman" w:hAnsi="Times New Roman" w:cs="Times New Roman"/>
          <w:sz w:val="22"/>
        </w:rPr>
        <w:t xml:space="preserve">formed the following audits: the audit of effectiveness of functioning of the management and control system of the Health Programme under the EEA Financial Mechanism 2014–2021; the audit of effectiveness of functioning of the management and control system </w:t>
      </w:r>
      <w:r>
        <w:rPr>
          <w:rFonts w:ascii="Times New Roman" w:eastAsia="Times New Roman" w:hAnsi="Times New Roman" w:cs="Times New Roman"/>
          <w:sz w:val="22"/>
        </w:rPr>
        <w:t>of the Culture Programme under the EEA Financial Mechanism 2014–2021; the audit of effectiveness of functioning of the management and control system of the Innovation, Business Development, and SMEs Programme under the Norwegian Financial Mechanism 2014–20</w:t>
      </w:r>
      <w:r>
        <w:rPr>
          <w:rFonts w:ascii="Times New Roman" w:eastAsia="Times New Roman" w:hAnsi="Times New Roman" w:cs="Times New Roman"/>
          <w:sz w:val="22"/>
        </w:rPr>
        <w:t xml:space="preserve">21 and the audit of declared expenditure of the Programmes, technical assistance and the Fund for Bilateral Relations under the EEA and Norwegian Financial Mechanisms 2014–2021, and the follow-up of recommendations specified during the audits performed in </w:t>
      </w:r>
      <w:r>
        <w:rPr>
          <w:rFonts w:ascii="Times New Roman" w:eastAsia="Times New Roman" w:hAnsi="Times New Roman" w:cs="Times New Roman"/>
          <w:sz w:val="22"/>
        </w:rPr>
        <w:t xml:space="preserve">the previous accounting years. </w:t>
      </w:r>
    </w:p>
    <w:p w:rsidR="00A37E99" w:rsidRDefault="00E74D2D">
      <w:pPr>
        <w:spacing w:before="240" w:after="240"/>
        <w:jc w:val="both"/>
      </w:pPr>
      <w:r>
        <w:rPr>
          <w:rFonts w:ascii="Times New Roman" w:eastAsia="Times New Roman" w:hAnsi="Times New Roman" w:cs="Times New Roman"/>
          <w:b/>
          <w:bCs/>
          <w:sz w:val="22"/>
        </w:rPr>
        <w:t xml:space="preserve">The activities implemented by the CPMA during the reporting period are as follows: </w:t>
      </w:r>
      <w:r>
        <w:rPr>
          <w:rFonts w:ascii="Times New Roman" w:eastAsia="Times New Roman" w:hAnsi="Times New Roman" w:cs="Times New Roman"/>
          <w:b/>
          <w:bCs/>
          <w:sz w:val="22"/>
        </w:rPr>
        <w:br/>
      </w:r>
      <w:r>
        <w:rPr>
          <w:rFonts w:ascii="Times New Roman" w:eastAsia="Times New Roman" w:hAnsi="Times New Roman" w:cs="Times New Roman"/>
          <w:sz w:val="22"/>
        </w:rPr>
        <w:t>1) Development and administration of the management, monitoring and control system of the EEA and Norway Financial Mechanisms 2014-2021 (NOR</w:t>
      </w:r>
      <w:r>
        <w:rPr>
          <w:rFonts w:ascii="Times New Roman" w:eastAsia="Times New Roman" w:hAnsi="Times New Roman" w:cs="Times New Roman"/>
          <w:sz w:val="22"/>
        </w:rPr>
        <w:t>IS). The operation of NORIS was assured, necessary developments of the system were implemented. NORIS was maintained by the service provider (joint venture partners PLC DevOcean LT and PLC Technologiniu paslaugu sprendimai (Technology service solutions) wh</w:t>
      </w:r>
      <w:r>
        <w:rPr>
          <w:rFonts w:ascii="Times New Roman" w:eastAsia="Times New Roman" w:hAnsi="Times New Roman" w:cs="Times New Roman"/>
          <w:sz w:val="22"/>
        </w:rPr>
        <w:t xml:space="preserve">ose contract expired on 31 December 2021. A new public procurement for maintenance of NORIS was conducted in February-April 2022 and a new contract with the service provider - PLC ”DevOcean LT“ - was signed on 2 May 2022. The Contract is valid until 2 May </w:t>
      </w:r>
      <w:r>
        <w:rPr>
          <w:rFonts w:ascii="Times New Roman" w:eastAsia="Times New Roman" w:hAnsi="Times New Roman" w:cs="Times New Roman"/>
          <w:sz w:val="22"/>
        </w:rPr>
        <w:t>2023 with the possibility of extension until 2 May 2024.</w:t>
      </w:r>
    </w:p>
    <w:p w:rsidR="00A37E99" w:rsidRDefault="00E74D2D">
      <w:pPr>
        <w:spacing w:before="240" w:after="240"/>
        <w:jc w:val="both"/>
      </w:pPr>
      <w:r>
        <w:rPr>
          <w:rFonts w:ascii="Times New Roman" w:eastAsia="Times New Roman" w:hAnsi="Times New Roman" w:cs="Times New Roman"/>
          <w:sz w:val="22"/>
        </w:rPr>
        <w:t>2) Administration and maintenance of the website for the EEA and Norwegian Financial Mechanisms 2014-2021 in Lithuania (www.eeagrants.lt). The website is operational and is used to publish the progra</w:t>
      </w:r>
      <w:r>
        <w:rPr>
          <w:rFonts w:ascii="Times New Roman" w:eastAsia="Times New Roman" w:hAnsi="Times New Roman" w:cs="Times New Roman"/>
          <w:sz w:val="22"/>
        </w:rPr>
        <w:t>mme information, news, open calls and other relevant information on the EEA and Norway Grants.</w:t>
      </w:r>
    </w:p>
    <w:p w:rsidR="00A37E99" w:rsidRDefault="00E74D2D">
      <w:pPr>
        <w:spacing w:before="240" w:after="240"/>
        <w:jc w:val="both"/>
      </w:pPr>
      <w:r>
        <w:rPr>
          <w:rFonts w:ascii="Times New Roman" w:eastAsia="Times New Roman" w:hAnsi="Times New Roman" w:cs="Times New Roman"/>
          <w:sz w:val="22"/>
        </w:rPr>
        <w:t>3) Necessary amendments to the NORIS legal acts.</w:t>
      </w:r>
    </w:p>
    <w:p w:rsidR="00A37E99" w:rsidRDefault="00E74D2D">
      <w:pPr>
        <w:spacing w:before="240" w:after="240"/>
        <w:jc w:val="both"/>
      </w:pPr>
      <w:r>
        <w:rPr>
          <w:rFonts w:ascii="Times New Roman" w:eastAsia="Times New Roman" w:hAnsi="Times New Roman" w:cs="Times New Roman"/>
          <w:sz w:val="22"/>
        </w:rPr>
        <w:t>4) Supervision and verification of the eligibility of expenditure of the National level predefined bilateral ini</w:t>
      </w:r>
      <w:r>
        <w:rPr>
          <w:rFonts w:ascii="Times New Roman" w:eastAsia="Times New Roman" w:hAnsi="Times New Roman" w:cs="Times New Roman"/>
          <w:sz w:val="22"/>
        </w:rPr>
        <w:t xml:space="preserve">tiatives implemented under the Fund for Bilateral Relations. Bilateral funds (National level) have already been distributed to 14 bilateral initiatives (3 of them were approved in 2022), 7 of them have been successfully completed (3 of them were completed </w:t>
      </w:r>
      <w:r>
        <w:rPr>
          <w:rFonts w:ascii="Times New Roman" w:eastAsia="Times New Roman" w:hAnsi="Times New Roman" w:cs="Times New Roman"/>
          <w:sz w:val="22"/>
        </w:rPr>
        <w:t>in 2022).</w:t>
      </w:r>
    </w:p>
    <w:p w:rsidR="00A37E99" w:rsidRDefault="00E74D2D">
      <w:pPr>
        <w:spacing w:before="240" w:after="240"/>
        <w:jc w:val="both"/>
      </w:pPr>
      <w:r>
        <w:rPr>
          <w:rFonts w:ascii="Times New Roman" w:eastAsia="Times New Roman" w:hAnsi="Times New Roman" w:cs="Times New Roman"/>
          <w:sz w:val="22"/>
        </w:rPr>
        <w:t>5) 2 technical evaluations of the Programme Operators` requests for additional funding from the Fund for Bilateral Relations under the Programmes Culture and Health were conducted by the Fund Administrator in 2022.</w:t>
      </w:r>
    </w:p>
    <w:p w:rsidR="00A37E99" w:rsidRDefault="00E74D2D">
      <w:pPr>
        <w:spacing w:before="240" w:after="240"/>
        <w:jc w:val="both"/>
      </w:pPr>
      <w:r>
        <w:rPr>
          <w:rFonts w:ascii="Times New Roman" w:eastAsia="Times New Roman" w:hAnsi="Times New Roman" w:cs="Times New Roman"/>
          <w:sz w:val="22"/>
        </w:rPr>
        <w:lastRenderedPageBreak/>
        <w:t xml:space="preserve">6) Carrying out of public </w:t>
      </w:r>
      <w:r>
        <w:rPr>
          <w:rFonts w:ascii="Times New Roman" w:eastAsia="Times New Roman" w:hAnsi="Times New Roman" w:cs="Times New Roman"/>
          <w:sz w:val="22"/>
        </w:rPr>
        <w:t>procurements necessary for the implementation of the EEA and Norwegian Financial Mechanisms.</w:t>
      </w:r>
    </w:p>
    <w:p w:rsidR="00FF3ABD" w:rsidRDefault="00E74D2D" w:rsidP="00B63EAD">
      <w:pPr>
        <w:pStyle w:val="Antrat3"/>
        <w:ind w:left="357"/>
      </w:pPr>
      <w:bookmarkStart w:id="34" w:name="_Toc256000027"/>
      <w:r>
        <w:t>Budget overview</w:t>
      </w:r>
      <w:bookmarkEnd w:id="34"/>
      <w:r>
        <w:t xml:space="preserve"> </w:t>
      </w:r>
    </w:p>
    <w:p w:rsidR="00A37E99" w:rsidRDefault="00E74D2D">
      <w:pPr>
        <w:spacing w:after="240"/>
      </w:pPr>
      <w:r>
        <w:rPr>
          <w:rFonts w:ascii="Times New Roman" w:eastAsia="Times New Roman" w:hAnsi="Times New Roman" w:cs="Times New Roman"/>
          <w:sz w:val="22"/>
        </w:rPr>
        <w:t>The actual information on the implementation of the technical assistance budget during the reporting period is set out below, EUR:</w:t>
      </w:r>
    </w:p>
    <w:tbl>
      <w:tblPr>
        <w:tblpPr w:vertAnchor="text" w:tblpY="1"/>
        <w:tblOverlap w:val="never"/>
        <w:tblW w:w="7515" w:type="dxa"/>
        <w:tblCellSpacing w:w="15" w:type="dxa"/>
        <w:tblBorders>
          <w:top w:val="outset" w:sz="18" w:space="0" w:color="808080"/>
          <w:left w:val="outset" w:sz="18" w:space="0" w:color="808080"/>
          <w:bottom w:val="outset" w:sz="18" w:space="0" w:color="808080"/>
          <w:right w:val="outset" w:sz="18" w:space="0" w:color="808080"/>
        </w:tblBorders>
        <w:tblCellMar>
          <w:top w:w="15" w:type="dxa"/>
          <w:left w:w="15" w:type="dxa"/>
          <w:bottom w:w="15" w:type="dxa"/>
          <w:right w:w="15" w:type="dxa"/>
        </w:tblCellMar>
        <w:tblLook w:val="04A0" w:firstRow="1" w:lastRow="0" w:firstColumn="1" w:lastColumn="0" w:noHBand="0" w:noVBand="1"/>
      </w:tblPr>
      <w:tblGrid>
        <w:gridCol w:w="1921"/>
        <w:gridCol w:w="1361"/>
        <w:gridCol w:w="1454"/>
        <w:gridCol w:w="1454"/>
        <w:gridCol w:w="1454"/>
        <w:gridCol w:w="1562"/>
      </w:tblGrid>
      <w:tr w:rsidR="00A37E99">
        <w:trPr>
          <w:trHeight w:val="780"/>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Description</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color w:val="000000"/>
              </w:rPr>
              <w:t> </w:t>
            </w:r>
          </w:p>
          <w:p w:rsidR="00A37E99" w:rsidRDefault="00E74D2D">
            <w:pPr>
              <w:spacing w:before="240"/>
              <w:rPr>
                <w:color w:val="000000"/>
              </w:rPr>
            </w:pPr>
            <w:r>
              <w:rPr>
                <w:rFonts w:ascii="Times New Roman" w:eastAsia="Times New Roman" w:hAnsi="Times New Roman" w:cs="Times New Roman"/>
                <w:b/>
                <w:bCs/>
                <w:color w:val="000000"/>
                <w:sz w:val="22"/>
              </w:rPr>
              <w:t>CA</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NFP</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AA</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Other entities</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TOTAL</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I. Additional management systems (Article 8.11.2 (a))</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756,00</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spacing w:after="240"/>
              <w:rPr>
                <w:color w:val="000000"/>
              </w:rPr>
            </w:pPr>
            <w:r>
              <w:rPr>
                <w:color w:val="000000"/>
              </w:rPr>
              <w:t> </w:t>
            </w:r>
          </w:p>
          <w:p w:rsidR="00A37E99" w:rsidRDefault="00E74D2D">
            <w:pPr>
              <w:spacing w:before="240"/>
              <w:rPr>
                <w:color w:val="000000"/>
              </w:rPr>
            </w:pPr>
            <w:r>
              <w:rPr>
                <w:rFonts w:ascii="Times New Roman" w:eastAsia="Times New Roman" w:hAnsi="Times New Roman" w:cs="Times New Roman"/>
                <w:color w:val="000000"/>
                <w:sz w:val="22"/>
              </w:rPr>
              <w:t>68,394.37</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69,150.37</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II. Annual and other meetings with the donor states (Article 8.11.2 (b))</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spacing w:after="240"/>
              <w:rPr>
                <w:color w:val="000000"/>
              </w:rPr>
            </w:pPr>
            <w:r>
              <w:rPr>
                <w:color w:val="000000"/>
              </w:rPr>
              <w:t> </w:t>
            </w:r>
          </w:p>
          <w:p w:rsidR="00A37E99" w:rsidRDefault="00E74D2D">
            <w:pPr>
              <w:spacing w:before="240"/>
              <w:rPr>
                <w:color w:val="000000"/>
              </w:rPr>
            </w:pPr>
            <w:r>
              <w:rPr>
                <w:rFonts w:ascii="Times New Roman" w:eastAsia="Times New Roman" w:hAnsi="Times New Roman" w:cs="Times New Roman"/>
                <w:color w:val="000000"/>
                <w:sz w:val="22"/>
              </w:rPr>
              <w:t>1,977.28</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14,628.74</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2,005.38</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18,611.40</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 xml:space="preserve">III. Meetings and </w:t>
            </w:r>
            <w:r>
              <w:rPr>
                <w:rFonts w:ascii="Times New Roman" w:eastAsia="Times New Roman" w:hAnsi="Times New Roman" w:cs="Times New Roman"/>
                <w:color w:val="000000"/>
                <w:sz w:val="22"/>
              </w:rPr>
              <w:t>conferences to share experience (Article 8.11.2 (c))</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IV. Promotional and information activities (Article 8.11.2 (d))</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15,149.20</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15,149.20</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V. Audits (Article 8.11.2 (e))</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20,323.16</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20,323.16</w:t>
            </w:r>
          </w:p>
        </w:tc>
      </w:tr>
      <w:tr w:rsidR="00A37E99">
        <w:trPr>
          <w:trHeight w:val="255"/>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t xml:space="preserve">VII. Reviews </w:t>
            </w:r>
            <w:r>
              <w:rPr>
                <w:rFonts w:ascii="Times New Roman" w:eastAsia="Times New Roman" w:hAnsi="Times New Roman" w:cs="Times New Roman"/>
                <w:color w:val="000000"/>
                <w:sz w:val="22"/>
              </w:rPr>
              <w:lastRenderedPageBreak/>
              <w:t xml:space="preserve">and evaluations (Article </w:t>
            </w:r>
            <w:r>
              <w:rPr>
                <w:rFonts w:ascii="Times New Roman" w:eastAsia="Times New Roman" w:hAnsi="Times New Roman" w:cs="Times New Roman"/>
                <w:color w:val="000000"/>
                <w:sz w:val="22"/>
              </w:rPr>
              <w:t>8.11.2 (g))</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lastRenderedPageBreak/>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36,575.88</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36,575.88</w:t>
            </w:r>
          </w:p>
        </w:tc>
      </w:tr>
      <w:tr w:rsidR="00A37E99">
        <w:trPr>
          <w:trHeight w:val="270"/>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A37E99" w:rsidRDefault="00E74D2D">
            <w:pPr>
              <w:rPr>
                <w:color w:val="000000"/>
              </w:rPr>
            </w:pPr>
            <w:r>
              <w:rPr>
                <w:rFonts w:ascii="Times New Roman" w:eastAsia="Times New Roman" w:hAnsi="Times New Roman" w:cs="Times New Roman"/>
                <w:color w:val="000000"/>
                <w:sz w:val="22"/>
              </w:rPr>
              <w:lastRenderedPageBreak/>
              <w:t>IX.  Preparation of the implementation of the FM 2014-2021 (Article 8.11.2 (i))</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color w:val="000000"/>
              </w:rPr>
              <w:t> </w:t>
            </w:r>
          </w:p>
        </w:tc>
      </w:tr>
      <w:tr w:rsidR="00A37E99">
        <w:trPr>
          <w:trHeight w:val="270"/>
          <w:tblCellSpacing w:w="15" w:type="dxa"/>
        </w:trPr>
        <w:tc>
          <w:tcPr>
            <w:tcW w:w="26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b/>
                <w:bCs/>
                <w:color w:val="000000"/>
                <w:sz w:val="22"/>
              </w:rPr>
              <w:t>TOTAL</w:t>
            </w:r>
          </w:p>
        </w:tc>
        <w:tc>
          <w:tcPr>
            <w:tcW w:w="1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A37E99" w:rsidRDefault="00E74D2D">
            <w:pPr>
              <w:rPr>
                <w:color w:val="000000"/>
              </w:rPr>
            </w:pPr>
            <w:r>
              <w:rPr>
                <w:rFonts w:ascii="Times New Roman" w:eastAsia="Times New Roman" w:hAnsi="Times New Roman" w:cs="Times New Roman"/>
                <w:color w:val="000000"/>
                <w:sz w:val="22"/>
              </w:rPr>
              <w:t>1,977.28</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67,109.82</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22,328.54</w:t>
            </w:r>
          </w:p>
        </w:tc>
        <w:tc>
          <w:tcPr>
            <w:tcW w:w="174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68,394.37</w:t>
            </w:r>
          </w:p>
        </w:tc>
        <w:tc>
          <w:tcPr>
            <w:tcW w:w="16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A37E99" w:rsidRDefault="00E74D2D">
            <w:pPr>
              <w:rPr>
                <w:color w:val="000000"/>
              </w:rPr>
            </w:pPr>
            <w:r>
              <w:rPr>
                <w:rFonts w:ascii="Times New Roman" w:eastAsia="Times New Roman" w:hAnsi="Times New Roman" w:cs="Times New Roman"/>
                <w:color w:val="000000"/>
                <w:sz w:val="22"/>
              </w:rPr>
              <w:t>159,810.01</w:t>
            </w:r>
          </w:p>
        </w:tc>
      </w:tr>
    </w:tbl>
    <w:p w:rsidR="00A37E99" w:rsidRDefault="00E74D2D">
      <w:pPr>
        <w:spacing w:after="240"/>
      </w:pPr>
      <w:r>
        <w:t> </w:t>
      </w:r>
    </w:p>
    <w:p w:rsidR="00FF3ABD" w:rsidRDefault="00E74D2D" w:rsidP="00B63EAD">
      <w:pPr>
        <w:pStyle w:val="Antrat3"/>
        <w:ind w:left="357"/>
      </w:pPr>
      <w:bookmarkStart w:id="35" w:name="_Toc256000028"/>
      <w:r>
        <w:t>Procurement</w:t>
      </w:r>
      <w:bookmarkEnd w:id="35"/>
    </w:p>
    <w:p w:rsidR="00A37E99" w:rsidRDefault="00E74D2D">
      <w:pPr>
        <w:spacing w:after="240"/>
      </w:pPr>
      <w:r>
        <w:rPr>
          <w:rFonts w:ascii="Times New Roman" w:eastAsia="Times New Roman" w:hAnsi="Times New Roman" w:cs="Times New Roman"/>
          <w:sz w:val="22"/>
        </w:rPr>
        <w:t xml:space="preserve">The MoF carried out 7 public procurements related to </w:t>
      </w:r>
      <w:r>
        <w:rPr>
          <w:rFonts w:ascii="Times New Roman" w:eastAsia="Times New Roman" w:hAnsi="Times New Roman" w:cs="Times New Roman"/>
          <w:sz w:val="22"/>
        </w:rPr>
        <w:t>the EEA and Norway Grants 2014–2021:</w:t>
      </w:r>
    </w:p>
    <w:p w:rsidR="00A37E99" w:rsidRDefault="00E74D2D">
      <w:pPr>
        <w:numPr>
          <w:ilvl w:val="0"/>
          <w:numId w:val="2"/>
        </w:numPr>
        <w:spacing w:before="240"/>
        <w:ind w:hanging="280"/>
        <w:jc w:val="both"/>
      </w:pPr>
      <w:r>
        <w:rPr>
          <w:rFonts w:ascii="Times New Roman" w:eastAsia="Times New Roman" w:hAnsi="Times New Roman" w:cs="Times New Roman"/>
          <w:sz w:val="22"/>
        </w:rPr>
        <w:t>Radio advertising services. JSC “Reklamos ekspertai”. Contract No. 228/2022 of 23 August 2022. Procurement value EUR 4,356.00.</w:t>
      </w:r>
    </w:p>
    <w:p w:rsidR="00A37E99" w:rsidRDefault="00E74D2D">
      <w:pPr>
        <w:numPr>
          <w:ilvl w:val="0"/>
          <w:numId w:val="2"/>
        </w:numPr>
        <w:ind w:hanging="280"/>
        <w:jc w:val="both"/>
      </w:pPr>
      <w:r>
        <w:rPr>
          <w:rFonts w:ascii="Times New Roman" w:eastAsia="Times New Roman" w:hAnsi="Times New Roman" w:cs="Times New Roman"/>
          <w:sz w:val="22"/>
        </w:rPr>
        <w:t>Radio broadcasting services. JSC “Derybininkai”. Contract No. 14P-24 of 2 May 2022. Procurem</w:t>
      </w:r>
      <w:r>
        <w:rPr>
          <w:rFonts w:ascii="Times New Roman" w:eastAsia="Times New Roman" w:hAnsi="Times New Roman" w:cs="Times New Roman"/>
          <w:sz w:val="22"/>
        </w:rPr>
        <w:t xml:space="preserve">ent value EUR 36,148.63. </w:t>
      </w:r>
    </w:p>
    <w:p w:rsidR="00A37E99" w:rsidRDefault="00E74D2D">
      <w:pPr>
        <w:numPr>
          <w:ilvl w:val="0"/>
          <w:numId w:val="2"/>
        </w:numPr>
        <w:ind w:hanging="280"/>
        <w:jc w:val="both"/>
      </w:pPr>
      <w:r>
        <w:rPr>
          <w:rFonts w:ascii="Times New Roman" w:eastAsia="Times New Roman" w:hAnsi="Times New Roman" w:cs="Times New Roman"/>
          <w:sz w:val="22"/>
        </w:rPr>
        <w:t>Audit. JSC Audit&amp;Accounting. Contract No. 14P-12 of 9 February 2023. Procurement value EUR 3,654.00.</w:t>
      </w:r>
    </w:p>
    <w:p w:rsidR="00A37E99" w:rsidRDefault="00E74D2D">
      <w:pPr>
        <w:numPr>
          <w:ilvl w:val="0"/>
          <w:numId w:val="2"/>
        </w:numPr>
        <w:spacing w:after="240"/>
        <w:ind w:hanging="280"/>
      </w:pPr>
      <w:r>
        <w:rPr>
          <w:rFonts w:ascii="Times New Roman" w:eastAsia="Times New Roman" w:hAnsi="Times New Roman" w:cs="Times New Roman"/>
          <w:sz w:val="22"/>
        </w:rPr>
        <w:t>Assessment services. JSC "Smart Continent LT". Contract No. 14P-39 of 20 June 2022. Procurement value EUR 34, 485.00</w:t>
      </w:r>
    </w:p>
    <w:p w:rsidR="00A37E99" w:rsidRDefault="00E74D2D">
      <w:pPr>
        <w:spacing w:before="240" w:after="240"/>
        <w:jc w:val="both"/>
      </w:pPr>
      <w:r>
        <w:rPr>
          <w:rFonts w:ascii="Times New Roman" w:eastAsia="Times New Roman" w:hAnsi="Times New Roman" w:cs="Times New Roman"/>
          <w:sz w:val="22"/>
        </w:rPr>
        <w:t xml:space="preserve">During the </w:t>
      </w:r>
      <w:r>
        <w:rPr>
          <w:rFonts w:ascii="Times New Roman" w:eastAsia="Times New Roman" w:hAnsi="Times New Roman" w:cs="Times New Roman"/>
          <w:sz w:val="22"/>
        </w:rPr>
        <w:t>reporting period the CPMA carried out  the following public procurements which exceed the national thresholds for the public procurement:</w:t>
      </w:r>
    </w:p>
    <w:p w:rsidR="00A37E99" w:rsidRDefault="00E74D2D">
      <w:pPr>
        <w:numPr>
          <w:ilvl w:val="0"/>
          <w:numId w:val="3"/>
        </w:numPr>
        <w:spacing w:before="240" w:after="240"/>
        <w:ind w:hanging="280"/>
        <w:jc w:val="both"/>
      </w:pPr>
      <w:r>
        <w:rPr>
          <w:rFonts w:ascii="Times New Roman" w:eastAsia="Times New Roman" w:hAnsi="Times New Roman" w:cs="Times New Roman"/>
          <w:sz w:val="22"/>
        </w:rPr>
        <w:t>2 public procurements related to NORIS performance:</w:t>
      </w:r>
    </w:p>
    <w:p w:rsidR="00A37E99" w:rsidRDefault="00E74D2D">
      <w:pPr>
        <w:numPr>
          <w:ilvl w:val="0"/>
          <w:numId w:val="4"/>
        </w:numPr>
        <w:spacing w:before="240"/>
        <w:ind w:hanging="210"/>
        <w:jc w:val="both"/>
      </w:pPr>
      <w:r>
        <w:rPr>
          <w:rFonts w:ascii="Times New Roman" w:eastAsia="Times New Roman" w:hAnsi="Times New Roman" w:cs="Times New Roman"/>
          <w:sz w:val="22"/>
        </w:rPr>
        <w:t>outsourced data centre services: supplier - Telia Lietuva AB, cont</w:t>
      </w:r>
      <w:r>
        <w:rPr>
          <w:rFonts w:ascii="Times New Roman" w:eastAsia="Times New Roman" w:hAnsi="Times New Roman" w:cs="Times New Roman"/>
          <w:sz w:val="22"/>
        </w:rPr>
        <w:t>ract No. 2022/4-1-4 concluded on 17 January 2022, CVPIS procurement No. 563146. Contract value – EUR 500,000.00 (inc. VAT).</w:t>
      </w:r>
    </w:p>
    <w:p w:rsidR="00A37E99" w:rsidRDefault="00E74D2D">
      <w:pPr>
        <w:numPr>
          <w:ilvl w:val="0"/>
          <w:numId w:val="4"/>
        </w:numPr>
        <w:spacing w:after="240"/>
        <w:ind w:hanging="210"/>
        <w:jc w:val="both"/>
      </w:pPr>
      <w:r>
        <w:rPr>
          <w:rFonts w:ascii="Times New Roman" w:eastAsia="Times New Roman" w:hAnsi="Times New Roman" w:cs="Times New Roman"/>
          <w:sz w:val="22"/>
        </w:rPr>
        <w:t>NORIS maintenance services: supplier - PLC „DevOcean LT“, contract No. 2022/4-1-63 concluded on 2 May 2022, CVPIS procurement No. 58</w:t>
      </w:r>
      <w:r>
        <w:rPr>
          <w:rFonts w:ascii="Times New Roman" w:eastAsia="Times New Roman" w:hAnsi="Times New Roman" w:cs="Times New Roman"/>
          <w:sz w:val="22"/>
        </w:rPr>
        <w:t>6266. Contract value – EUR 96,790.00 (inc. VAT).</w:t>
      </w:r>
    </w:p>
    <w:p w:rsidR="00A37E99" w:rsidRDefault="00E74D2D">
      <w:pPr>
        <w:numPr>
          <w:ilvl w:val="0"/>
          <w:numId w:val="5"/>
        </w:numPr>
        <w:spacing w:before="240" w:after="240"/>
        <w:ind w:hanging="280"/>
        <w:jc w:val="both"/>
      </w:pPr>
      <w:r>
        <w:rPr>
          <w:rFonts w:ascii="Times New Roman" w:eastAsia="Times New Roman" w:hAnsi="Times New Roman" w:cs="Times New Roman"/>
          <w:sz w:val="22"/>
        </w:rPr>
        <w:t>1 public procurement related to the costs incurred under the EEA and Norway Financial Mechanisms 2014-2021 auditing, i.e.:</w:t>
      </w:r>
    </w:p>
    <w:p w:rsidR="00A37E99" w:rsidRDefault="00E74D2D">
      <w:pPr>
        <w:numPr>
          <w:ilvl w:val="0"/>
          <w:numId w:val="6"/>
        </w:numPr>
        <w:spacing w:before="240" w:after="240"/>
        <w:ind w:hanging="210"/>
        <w:jc w:val="both"/>
      </w:pPr>
      <w:r>
        <w:rPr>
          <w:rFonts w:ascii="Times New Roman" w:eastAsia="Times New Roman" w:hAnsi="Times New Roman" w:cs="Times New Roman"/>
          <w:sz w:val="22"/>
        </w:rPr>
        <w:lastRenderedPageBreak/>
        <w:t>Programmes management, bilateral initiatives and TA costs auditing services. There w</w:t>
      </w:r>
      <w:r>
        <w:rPr>
          <w:rFonts w:ascii="Times New Roman" w:eastAsia="Times New Roman" w:hAnsi="Times New Roman" w:cs="Times New Roman"/>
          <w:sz w:val="22"/>
        </w:rPr>
        <w:t>ere concluded 2 preliminary contracts: LLC Audit&amp;Accounting, contract No. 2022/4-2-32 concluded on 15 September 2022 and LLC UAB Audito profesinė bendrija, contract No. 2022/4-2-31 concluded on 15 September 2022. CVPIS procurement No. 609381. Contracts val</w:t>
      </w:r>
      <w:r>
        <w:rPr>
          <w:rFonts w:ascii="Times New Roman" w:eastAsia="Times New Roman" w:hAnsi="Times New Roman" w:cs="Times New Roman"/>
          <w:sz w:val="22"/>
        </w:rPr>
        <w:t>ue – EUR 75.000 (inc. VAT).</w:t>
      </w:r>
    </w:p>
    <w:p w:rsidR="00FF3ABD" w:rsidRDefault="00E74D2D" w:rsidP="00B63EAD">
      <w:pPr>
        <w:pStyle w:val="Antrat3"/>
        <w:ind w:left="357"/>
      </w:pPr>
      <w:bookmarkStart w:id="36" w:name="_Toc256000029"/>
      <w:r>
        <w:t>Staffing</w:t>
      </w:r>
      <w:bookmarkEnd w:id="36"/>
    </w:p>
    <w:p w:rsidR="00A37E99" w:rsidRDefault="00E74D2D">
      <w:pPr>
        <w:spacing w:after="240"/>
      </w:pPr>
      <w:r>
        <w:t> </w:t>
      </w:r>
    </w:p>
    <w:tbl>
      <w:tblPr>
        <w:tblW w:w="5000" w:type="pct"/>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23"/>
        <w:gridCol w:w="1823"/>
        <w:gridCol w:w="1824"/>
        <w:gridCol w:w="1824"/>
        <w:gridCol w:w="1824"/>
      </w:tblGrid>
      <w:tr w:rsidR="00A37E99">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rsidR="00A37E99" w:rsidRDefault="00E74D2D">
            <w:pPr>
              <w:pStyle w:val="tddiv"/>
              <w:spacing w:after="0"/>
              <w:ind w:left="108" w:right="108"/>
              <w:rPr>
                <w:color w:val="000000"/>
              </w:rPr>
            </w:pPr>
            <w:r>
              <w:rPr>
                <w:b/>
                <w:bCs/>
                <w:color w:val="000000"/>
              </w:rPr>
              <w:t>National Focal Point</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Rūta Dapkutė–Stankevičienė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Rūta </w:t>
            </w:r>
            <w:r>
              <w:rPr>
                <w:rFonts w:ascii="Times New Roman" w:eastAsia="Times New Roman" w:hAnsi="Times New Roman" w:cs="Times New Roman"/>
                <w:color w:val="000000"/>
                <w:sz w:val="21"/>
                <w:szCs w:val="21"/>
              </w:rPr>
              <w:t>Dapkutė–Stankevičienė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28 February 2022 )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Rūta Dapkutė–Stankevičienė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April 2022 to 19 June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9</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Paulius Baniūnas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w:t>
            </w:r>
            <w:r>
              <w:rPr>
                <w:rFonts w:ascii="Times New Roman" w:eastAsia="Times New Roman" w:hAnsi="Times New Roman" w:cs="Times New Roman"/>
                <w:color w:val="000000"/>
                <w:sz w:val="21"/>
                <w:szCs w:val="21"/>
              </w:rPr>
              <w:t>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Paulius Baniūnas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19 June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Paulius Baniūnas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(from 20 June 2022 </w:t>
            </w:r>
            <w:r>
              <w:rPr>
                <w:rFonts w:ascii="Times New Roman" w:eastAsia="Times New Roman" w:hAnsi="Times New Roman" w:cs="Times New Roman"/>
                <w:color w:val="000000"/>
                <w:sz w:val="21"/>
                <w:szCs w:val="21"/>
              </w:rPr>
              <w:t>to 1 September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Director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Paulius Baniūnas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2 September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Control and maintenance of </w:t>
            </w:r>
            <w:r>
              <w:rPr>
                <w:rFonts w:ascii="Times New Roman" w:eastAsia="Times New Roman" w:hAnsi="Times New Roman" w:cs="Times New Roman"/>
                <w:color w:val="000000"/>
                <w:sz w:val="21"/>
                <w:szCs w:val="21"/>
              </w:rPr>
              <w:t xml:space="preserve">effective EEE/NOR </w:t>
            </w:r>
            <w:r>
              <w:rPr>
                <w:rFonts w:ascii="Times New Roman" w:eastAsia="Times New Roman" w:hAnsi="Times New Roman" w:cs="Times New Roman"/>
                <w:color w:val="000000"/>
                <w:sz w:val="21"/>
                <w:szCs w:val="21"/>
              </w:rPr>
              <w:lastRenderedPageBreak/>
              <w:t>financial support administration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Kotryna Tamoševičienė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20 Spetember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Director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programme administration, maintenance of the MCS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Vaida </w:t>
            </w:r>
            <w:r>
              <w:rPr>
                <w:rFonts w:ascii="Times New Roman" w:eastAsia="Times New Roman" w:hAnsi="Times New Roman" w:cs="Times New Roman"/>
                <w:color w:val="000000"/>
                <w:sz w:val="21"/>
                <w:szCs w:val="21"/>
              </w:rPr>
              <w:t>Žukauskaitė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technical assistance administration, maintenance of the MCS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Irma Patapienė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Department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 and maintenance of effective EEE/NOR programme administration, maintenance of the MCS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Rima Martinėnienė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Proper &amp; timely preparation, implementation and reporting on </w:t>
            </w:r>
            <w:r>
              <w:rPr>
                <w:rFonts w:ascii="Times New Roman" w:eastAsia="Times New Roman" w:hAnsi="Times New Roman" w:cs="Times New Roman"/>
                <w:color w:val="000000"/>
                <w:sz w:val="21"/>
                <w:szCs w:val="21"/>
              </w:rPr>
              <w:t>the programmes “Health”, “Culture” &amp; “Justice” and “Internal Affairs”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9</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Rima Martinėnienė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31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Proper &amp; timely preparation, implementation and reporting on the programmes “Health”,</w:t>
            </w:r>
            <w:r>
              <w:rPr>
                <w:rFonts w:ascii="Times New Roman" w:eastAsia="Times New Roman" w:hAnsi="Times New Roman" w:cs="Times New Roman"/>
                <w:color w:val="000000"/>
                <w:sz w:val="21"/>
                <w:szCs w:val="21"/>
              </w:rPr>
              <w:t xml:space="preserve"> “Culture” &amp; “Justice” and “Internal Affairs”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9</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Rima Martinėnienė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April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Proper &amp; timely preparation, implementation and reporting on the programmes </w:t>
            </w:r>
            <w:r>
              <w:rPr>
                <w:rFonts w:ascii="Times New Roman" w:eastAsia="Times New Roman" w:hAnsi="Times New Roman" w:cs="Times New Roman"/>
                <w:color w:val="000000"/>
                <w:sz w:val="21"/>
                <w:szCs w:val="21"/>
              </w:rPr>
              <w:lastRenderedPageBreak/>
              <w:t xml:space="preserve">“Health”, “Culture” &amp; “Justice” and “Internal </w:t>
            </w:r>
            <w:r>
              <w:rPr>
                <w:rFonts w:ascii="Times New Roman" w:eastAsia="Times New Roman" w:hAnsi="Times New Roman" w:cs="Times New Roman"/>
                <w:color w:val="000000"/>
                <w:sz w:val="21"/>
                <w:szCs w:val="21"/>
              </w:rPr>
              <w:t>Affairs”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Banga Vaitkutė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implementation and reporting on the programme “Health”.</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Andrius Jautakis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implementation and reporting on the programmes “Justice” and “Internal Affairs”; a contact person for the programmes “Social Dialogue – Decent Work” and “Civil Society”; expert for eligibility of expenditure and project durability issues; a co</w:t>
            </w:r>
            <w:r>
              <w:rPr>
                <w:rFonts w:ascii="Times New Roman" w:eastAsia="Times New Roman" w:hAnsi="Times New Roman" w:cs="Times New Roman"/>
                <w:color w:val="000000"/>
                <w:sz w:val="21"/>
                <w:szCs w:val="21"/>
              </w:rPr>
              <w:t>ordinator for investment approach</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60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Andrius Jautakis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13 February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reporting on the programmes “Justice” and “Internal Affairs”; a contact person for </w:t>
            </w:r>
            <w:r>
              <w:rPr>
                <w:rFonts w:ascii="Times New Roman" w:eastAsia="Times New Roman" w:hAnsi="Times New Roman" w:cs="Times New Roman"/>
                <w:color w:val="000000"/>
                <w:sz w:val="21"/>
                <w:szCs w:val="21"/>
              </w:rPr>
              <w:t>the programmes “Social Dialogue – Decent Work” and “Civil Society”; expert for eligibility of expenditure and project durability issues; a coordinator for investment approach</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60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Vilija Šemetienė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(since 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MoF, Social Investment </w:t>
            </w:r>
            <w:r>
              <w:rPr>
                <w:rFonts w:ascii="Times New Roman" w:eastAsia="Times New Roman" w:hAnsi="Times New Roman" w:cs="Times New Roman"/>
                <w:color w:val="000000"/>
                <w:sz w:val="21"/>
                <w:szCs w:val="21"/>
              </w:rPr>
              <w:lastRenderedPageBreak/>
              <w:t xml:space="preserve">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Preparation, implementation </w:t>
            </w:r>
            <w:r>
              <w:rPr>
                <w:rFonts w:ascii="Times New Roman" w:eastAsia="Times New Roman" w:hAnsi="Times New Roman" w:cs="Times New Roman"/>
                <w:color w:val="000000"/>
                <w:sz w:val="21"/>
                <w:szCs w:val="21"/>
              </w:rPr>
              <w:lastRenderedPageBreak/>
              <w:t>and reporting on the programmes “Justice” and “Internal Affairs”; a contact person for the programmes “Social Dialogue – Decent Work” and “Civil Society”; expert for eligibility of expenditure and project durability issu</w:t>
            </w:r>
            <w:r>
              <w:rPr>
                <w:rFonts w:ascii="Times New Roman" w:eastAsia="Times New Roman" w:hAnsi="Times New Roman" w:cs="Times New Roman"/>
                <w:color w:val="000000"/>
                <w:sz w:val="21"/>
                <w:szCs w:val="21"/>
              </w:rPr>
              <w:t>es; a coordinator for investment approach</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60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Giedrė Neverienė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(from1 January 2022 to 15 March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Social Investment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implementation and reporting on the programme “Culture”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Eglė Mikučionienė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w:t>
            </w:r>
            <w:r>
              <w:rPr>
                <w:rFonts w:ascii="Times New Roman" w:eastAsia="Times New Roman" w:hAnsi="Times New Roman" w:cs="Times New Roman"/>
                <w:color w:val="000000"/>
                <w:sz w:val="21"/>
                <w:szCs w:val="21"/>
              </w:rPr>
              <w:t xml:space="preserve">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Investment for Economic 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Proper &amp; timely preparation, implementation and reporting on the programmes “Business Development, Innovation and SMEs”, “Research and Environment, Energy, Climate Change”, “Baltic Research P</w:t>
            </w:r>
            <w:r>
              <w:rPr>
                <w:rFonts w:ascii="Times New Roman" w:eastAsia="Times New Roman" w:hAnsi="Times New Roman" w:cs="Times New Roman"/>
                <w:color w:val="000000"/>
                <w:sz w:val="21"/>
                <w:szCs w:val="21"/>
              </w:rPr>
              <w:t>rogramme”.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Eglė Mikučionienė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31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Investment for Economic 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Proper &amp; timely preparation, implementation and reporting on the programmes “Business Development, Innovation and SMEs”, “Research </w:t>
            </w:r>
            <w:r>
              <w:rPr>
                <w:rFonts w:ascii="Times New Roman" w:eastAsia="Times New Roman" w:hAnsi="Times New Roman" w:cs="Times New Roman"/>
                <w:color w:val="000000"/>
                <w:sz w:val="21"/>
                <w:szCs w:val="21"/>
              </w:rPr>
              <w:t xml:space="preserve">and Environment, Energy, Climate Change”, “Baltic </w:t>
            </w:r>
            <w:r>
              <w:rPr>
                <w:rFonts w:ascii="Times New Roman" w:eastAsia="Times New Roman" w:hAnsi="Times New Roman" w:cs="Times New Roman"/>
                <w:color w:val="000000"/>
                <w:sz w:val="21"/>
                <w:szCs w:val="21"/>
              </w:rPr>
              <w:lastRenderedPageBreak/>
              <w:t>Research Programme”.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Eglė Mikučionienė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April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Investment for Economic 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Proper &amp; timely preparation, implementation and reporting on the programmes “Business </w:t>
            </w:r>
            <w:r>
              <w:rPr>
                <w:rFonts w:ascii="Times New Roman" w:eastAsia="Times New Roman" w:hAnsi="Times New Roman" w:cs="Times New Roman"/>
                <w:color w:val="000000"/>
                <w:sz w:val="21"/>
                <w:szCs w:val="21"/>
              </w:rPr>
              <w:t>Development, Innovation and SMEs”, “Research and Environment, Energy, Climate Change”, “Baltic Research Programme”.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Roma Narečionienė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Investment for Economic 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w:t>
            </w:r>
            <w:r>
              <w:rPr>
                <w:rFonts w:ascii="Times New Roman" w:eastAsia="Times New Roman" w:hAnsi="Times New Roman" w:cs="Times New Roman"/>
                <w:color w:val="000000"/>
                <w:sz w:val="21"/>
                <w:szCs w:val="21"/>
              </w:rPr>
              <w:t>reporting on the programmes “Business Development, Innovation and SMEs”, “Baltic Research Programme”.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Agnė Navikienė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for Economic Growth Division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reporting on the programme “Environment, Energy, Climate Change”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Agnė Navikienė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31 October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for Economic Growth Division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reporting on the programme “Environment, Energy, Climate Change”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Agnė Navikienė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November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for Economic Growth Division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reporting on the programme “Environment, Energy, Climate Change”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Laura Sabulienė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MoF, Investment for Economic </w:t>
            </w:r>
            <w:r>
              <w:rPr>
                <w:rFonts w:ascii="Times New Roman" w:eastAsia="Times New Roman" w:hAnsi="Times New Roman" w:cs="Times New Roman"/>
                <w:color w:val="000000"/>
                <w:sz w:val="21"/>
                <w:szCs w:val="21"/>
              </w:rPr>
              <w:lastRenderedPageBreak/>
              <w:t>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Preparation, implementation </w:t>
            </w:r>
            <w:r>
              <w:rPr>
                <w:rFonts w:ascii="Times New Roman" w:eastAsia="Times New Roman" w:hAnsi="Times New Roman" w:cs="Times New Roman"/>
                <w:color w:val="000000"/>
                <w:sz w:val="21"/>
                <w:szCs w:val="21"/>
              </w:rPr>
              <w:lastRenderedPageBreak/>
              <w:t>and reporting on the pr</w:t>
            </w:r>
            <w:r>
              <w:rPr>
                <w:rFonts w:ascii="Times New Roman" w:eastAsia="Times New Roman" w:hAnsi="Times New Roman" w:cs="Times New Roman"/>
                <w:color w:val="000000"/>
                <w:sz w:val="21"/>
                <w:szCs w:val="21"/>
              </w:rPr>
              <w:t>ogramme “Business Development, Innovation and SMEs”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2"/>
              </w:rPr>
              <w:lastRenderedPageBreak/>
              <w:t>Aurelija Sankauskė</w:t>
            </w:r>
          </w:p>
          <w:p w:rsidR="00A37E99" w:rsidRDefault="00E74D2D">
            <w:pPr>
              <w:spacing w:before="240" w:after="0"/>
              <w:ind w:left="108" w:right="108"/>
              <w:rPr>
                <w:color w:val="000000"/>
              </w:rPr>
            </w:pPr>
            <w:r>
              <w:rPr>
                <w:rFonts w:ascii="Times New Roman" w:eastAsia="Times New Roman" w:hAnsi="Times New Roman" w:cs="Times New Roman"/>
                <w:color w:val="000000"/>
                <w:sz w:val="22"/>
              </w:rPr>
              <w:t>(from 19 April 2022 to 30 September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Investment for Economic Growth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implementation and reporting on the programme “Environment, Energy, </w:t>
            </w:r>
            <w:r>
              <w:rPr>
                <w:rFonts w:ascii="Times New Roman" w:eastAsia="Times New Roman" w:hAnsi="Times New Roman" w:cs="Times New Roman"/>
                <w:color w:val="000000"/>
                <w:sz w:val="21"/>
                <w:szCs w:val="21"/>
              </w:rPr>
              <w:t>Climate Change”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2"/>
              </w:rPr>
              <w:t>Asta Davidonienė</w:t>
            </w:r>
          </w:p>
          <w:p w:rsidR="00A37E99" w:rsidRDefault="00E74D2D">
            <w:pPr>
              <w:spacing w:after="0"/>
              <w:ind w:left="108" w:right="108"/>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(since 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for Economic Growth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implementation and reporting on the programme “Environment, Energy, Climate Change”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Sigitas Miškinis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(since 1 I </w:t>
            </w:r>
            <w:r>
              <w:rPr>
                <w:rFonts w:ascii="Times New Roman" w:eastAsia="Times New Roman" w:hAnsi="Times New Roman" w:cs="Times New Roman"/>
                <w:color w:val="000000"/>
                <w:sz w:val="21"/>
                <w:szCs w:val="21"/>
              </w:rPr>
              <w:t>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for Economic Growth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implementation and reporting on the programme “Baltic Research Programme”.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Gražina Meiduvienė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Timely preparation of strategic report, monitoring implementation, NORIS, planning of payments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4</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Gražina Meiduvienė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2 August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Timely preparation of strategic report, monitoring implementation, NORIS, planning of payments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4</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Akvilė Svirkė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2 August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Timely preparation of strategic report, monitoring implementation, NORIS, planning of payments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4</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Daiva Navikienė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(since 1 January </w:t>
            </w:r>
            <w:r>
              <w:rPr>
                <w:rFonts w:ascii="Times New Roman" w:eastAsia="Times New Roman" w:hAnsi="Times New Roman" w:cs="Times New Roman"/>
                <w:color w:val="000000"/>
                <w:sz w:val="21"/>
                <w:szCs w:val="21"/>
              </w:rPr>
              <w:lastRenderedPageBreak/>
              <w:t>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Planning of payments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Jūranda Savukynienė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(since 1 </w:t>
            </w:r>
            <w:r>
              <w:rPr>
                <w:rFonts w:ascii="Times New Roman" w:eastAsia="Times New Roman" w:hAnsi="Times New Roman" w:cs="Times New Roman"/>
                <w:color w:val="000000"/>
                <w:sz w:val="21"/>
                <w:szCs w:val="21"/>
              </w:rPr>
              <w:t>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Strategic report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Aušra Ona Birvinskienė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Calibri" w:eastAsia="Calibri" w:hAnsi="Calibri" w:cs="Calibri"/>
                <w:color w:val="000000"/>
                <w:sz w:val="22"/>
              </w:rPr>
              <w:t>NORIS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Aušra Ona Birvinskienė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4 April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Calibri" w:eastAsia="Calibri" w:hAnsi="Calibri" w:cs="Calibri"/>
                <w:color w:val="000000"/>
                <w:sz w:val="22"/>
              </w:rPr>
              <w:t>NORIS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Marija Jaskelevičienė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Calibri" w:eastAsia="Calibri" w:hAnsi="Calibri" w:cs="Calibri"/>
                <w:color w:val="000000"/>
                <w:sz w:val="22"/>
              </w:rPr>
              <w:t>Strategic report, annual meetings, monitoring implementation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Marija Jaskelevičienė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w:t>
            </w:r>
            <w:r>
              <w:rPr>
                <w:rFonts w:ascii="Times New Roman" w:eastAsia="Times New Roman" w:hAnsi="Times New Roman" w:cs="Times New Roman"/>
                <w:color w:val="000000"/>
                <w:sz w:val="21"/>
                <w:szCs w:val="21"/>
              </w:rPr>
              <w:t xml:space="preserve"> 1 January 2022 to 2 December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Analysis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Calibri" w:eastAsia="Calibri" w:hAnsi="Calibri" w:cs="Calibri"/>
                <w:color w:val="000000"/>
                <w:sz w:val="22"/>
              </w:rPr>
              <w:t>Strategic report, annual meetings, monitoring implementation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Julija Kvietkė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4 April 2022 to 27 November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Policy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Control</w:t>
            </w:r>
            <w:r>
              <w:rPr>
                <w:rFonts w:ascii="Times New Roman" w:eastAsia="Times New Roman" w:hAnsi="Times New Roman" w:cs="Times New Roman"/>
                <w:color w:val="000000"/>
                <w:sz w:val="21"/>
                <w:szCs w:val="21"/>
              </w:rPr>
              <w:t xml:space="preserve"> of proper &amp; timely preparation &amp; amendments to the MoU of the Implementation of the EEA/NOR Financial Mechanisms 2014-2021 and agreements of FBR and Programmes and administration of FBR.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14</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Matas Cancingeris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Policy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Preparation of &amp; amendments to the MoU of the Implementation of the EEA/NOR Financial Mechanisms 2014-2021 and </w:t>
            </w:r>
            <w:r>
              <w:rPr>
                <w:rFonts w:ascii="Times New Roman" w:eastAsia="Times New Roman" w:hAnsi="Times New Roman" w:cs="Times New Roman"/>
                <w:color w:val="000000"/>
                <w:sz w:val="21"/>
                <w:szCs w:val="21"/>
              </w:rPr>
              <w:lastRenderedPageBreak/>
              <w:t>agreements of FBR and Programmes; Administration of and reporting on FBR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70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Jolanta Vaičiūn</w:t>
            </w:r>
            <w:r>
              <w:rPr>
                <w:rFonts w:ascii="Times New Roman" w:eastAsia="Times New Roman" w:hAnsi="Times New Roman" w:cs="Times New Roman"/>
                <w:color w:val="000000"/>
                <w:sz w:val="21"/>
                <w:szCs w:val="21"/>
              </w:rPr>
              <w:t>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Policy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Control of proper &amp; timely preparation &amp; amendments to the MoU of the Implementation of the EEA/NOR Financial Mechanisms 2014-2021 and agreements of FBR and Programmes and administration </w:t>
            </w:r>
            <w:r>
              <w:rPr>
                <w:rFonts w:ascii="Times New Roman" w:eastAsia="Times New Roman" w:hAnsi="Times New Roman" w:cs="Times New Roman"/>
                <w:color w:val="000000"/>
                <w:sz w:val="21"/>
                <w:szCs w:val="21"/>
              </w:rPr>
              <w:t>of FBR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Božena Zaikovska – Tomkevičienė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Organisation of administrative functions of the EEA/NOR Financial Mechanisms entrusted to the division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Julija Maniuškina</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w:t>
            </w:r>
            <w:r>
              <w:rPr>
                <w:rFonts w:ascii="Times New Roman" w:eastAsia="Times New Roman" w:hAnsi="Times New Roman" w:cs="Times New Roman"/>
                <w:color w:val="000000"/>
                <w:sz w:val="21"/>
                <w:szCs w:val="21"/>
              </w:rPr>
              <w:t xml:space="preserve"> 10 March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Consulting, preparation of 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Gintarė Žydelienė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Strengthening the administrative capacity of staff</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Lina Balčiūnienė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31 October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Preparation of legislation regulating the</w:t>
            </w:r>
            <w:r>
              <w:rPr>
                <w:rFonts w:ascii="Times New Roman" w:eastAsia="Times New Roman" w:hAnsi="Times New Roman" w:cs="Times New Roman"/>
                <w:color w:val="000000"/>
                <w:sz w:val="21"/>
                <w:szCs w:val="21"/>
              </w:rPr>
              <w:t xml:space="preserve"> administration of the EEA/NOR Financial Mechanisms, preparation of </w:t>
            </w:r>
            <w:r>
              <w:rPr>
                <w:rFonts w:ascii="Times New Roman" w:eastAsia="Times New Roman" w:hAnsi="Times New Roman" w:cs="Times New Roman"/>
                <w:color w:val="000000"/>
                <w:sz w:val="21"/>
                <w:szCs w:val="21"/>
              </w:rPr>
              <w:lastRenderedPageBreak/>
              <w:t>explanations about their application; consulting, preparation of explanations related to the administration processes of the  EEA/NOR Financial Mechanisms; technical support of the working</w:t>
            </w:r>
            <w:r>
              <w:rPr>
                <w:rFonts w:ascii="Times New Roman" w:eastAsia="Times New Roman" w:hAnsi="Times New Roman" w:cs="Times New Roman"/>
                <w:color w:val="000000"/>
                <w:sz w:val="21"/>
                <w:szCs w:val="21"/>
              </w:rPr>
              <w:t xml:space="preserve"> group for the creation of administrative processes of the EEA/NOR Financial Mechanisms; participation in the development of NORIS. Consulting, preparation of 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40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I</w:t>
            </w:r>
            <w:r>
              <w:rPr>
                <w:rFonts w:ascii="Times New Roman" w:eastAsia="Times New Roman" w:hAnsi="Times New Roman" w:cs="Times New Roman"/>
                <w:color w:val="000000"/>
                <w:sz w:val="21"/>
                <w:szCs w:val="21"/>
              </w:rPr>
              <w:t>eva Kiznevičiūtė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10 February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Consulting, preparation of 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Danutė Žekonienė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8 June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MoF, Quality Assurance Division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Consulting, preparation of 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Danutė Žekonienė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8 June 2022 to 1 January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color w:val="000000"/>
              </w:rPr>
              <w:t> </w:t>
            </w:r>
          </w:p>
          <w:p w:rsidR="00A37E99" w:rsidRDefault="00E74D2D">
            <w:pPr>
              <w:spacing w:before="240"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Chief </w:t>
            </w:r>
            <w:r>
              <w:rPr>
                <w:rFonts w:ascii="Times New Roman" w:eastAsia="Times New Roman" w:hAnsi="Times New Roman" w:cs="Times New Roman"/>
                <w:color w:val="000000"/>
                <w:sz w:val="21"/>
                <w:szCs w:val="21"/>
              </w:rPr>
              <w:t>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Consulting, preparation of 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Danutė Žekonienė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2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Consulting, preparation of </w:t>
            </w:r>
            <w:r>
              <w:rPr>
                <w:rFonts w:ascii="Times New Roman" w:eastAsia="Times New Roman" w:hAnsi="Times New Roman" w:cs="Times New Roman"/>
                <w:color w:val="000000"/>
                <w:sz w:val="21"/>
                <w:szCs w:val="21"/>
              </w:rPr>
              <w:t>explanations related to the 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Roberta Vološenkovienė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Consulting, preparation of explanations related to the </w:t>
            </w:r>
            <w:r>
              <w:rPr>
                <w:rFonts w:ascii="Times New Roman" w:eastAsia="Times New Roman" w:hAnsi="Times New Roman" w:cs="Times New Roman"/>
                <w:color w:val="000000"/>
                <w:sz w:val="21"/>
                <w:szCs w:val="21"/>
              </w:rPr>
              <w:t>administration 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Roberta Vološenkovienė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17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Quality Assurance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Consulting, preparation of explanations related to the administration </w:t>
            </w:r>
            <w:r>
              <w:rPr>
                <w:rFonts w:ascii="Times New Roman" w:eastAsia="Times New Roman" w:hAnsi="Times New Roman" w:cs="Times New Roman"/>
                <w:color w:val="000000"/>
                <w:sz w:val="21"/>
                <w:szCs w:val="21"/>
              </w:rPr>
              <w:t>processes of the EEA/NOR Financial Mechanisms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Rasa Baltronaitė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Coordinating work on the description of the MCS, communication and information, budgeting technical </w:t>
            </w:r>
            <w:r>
              <w:rPr>
                <w:rFonts w:ascii="Times New Roman" w:eastAsia="Times New Roman" w:hAnsi="Times New Roman" w:cs="Times New Roman"/>
                <w:color w:val="000000"/>
                <w:sz w:val="21"/>
                <w:szCs w:val="21"/>
              </w:rPr>
              <w:t>assistance, risk management plan, programme agreements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Rasa Baltronaitė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(from 1 January </w:t>
            </w:r>
            <w:r>
              <w:rPr>
                <w:rFonts w:ascii="Times New Roman" w:eastAsia="Times New Roman" w:hAnsi="Times New Roman" w:cs="Times New Roman"/>
                <w:color w:val="000000"/>
                <w:sz w:val="21"/>
                <w:szCs w:val="21"/>
              </w:rPr>
              <w:lastRenderedPageBreak/>
              <w:t>2022  to 30 June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MoF, Management and Control Systems </w:t>
            </w:r>
            <w:r>
              <w:rPr>
                <w:rFonts w:ascii="Times New Roman" w:eastAsia="Times New Roman" w:hAnsi="Times New Roman" w:cs="Times New Roman"/>
                <w:color w:val="000000"/>
                <w:sz w:val="21"/>
                <w:szCs w:val="21"/>
              </w:rPr>
              <w:lastRenderedPageBreak/>
              <w:t xml:space="preserve">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Coordinating work on the description of the </w:t>
            </w:r>
            <w:r>
              <w:rPr>
                <w:rFonts w:ascii="Times New Roman" w:eastAsia="Times New Roman" w:hAnsi="Times New Roman" w:cs="Times New Roman"/>
                <w:color w:val="000000"/>
                <w:sz w:val="21"/>
                <w:szCs w:val="21"/>
              </w:rPr>
              <w:lastRenderedPageBreak/>
              <w:t xml:space="preserve">MCS, communication and </w:t>
            </w:r>
            <w:r>
              <w:rPr>
                <w:rFonts w:ascii="Times New Roman" w:eastAsia="Times New Roman" w:hAnsi="Times New Roman" w:cs="Times New Roman"/>
                <w:color w:val="000000"/>
                <w:sz w:val="21"/>
                <w:szCs w:val="21"/>
              </w:rPr>
              <w:t>information, budgeting technical assistance, risk management plan, programme agreements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18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Rasa Baltronaitė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July 2022</w:t>
            </w:r>
            <w:r>
              <w:rPr>
                <w:color w:val="000000"/>
              </w:rPr>
              <w: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Coordinating work on the description of the MCS, </w:t>
            </w:r>
            <w:r>
              <w:rPr>
                <w:rFonts w:ascii="Times New Roman" w:eastAsia="Times New Roman" w:hAnsi="Times New Roman" w:cs="Times New Roman"/>
                <w:color w:val="000000"/>
                <w:sz w:val="21"/>
                <w:szCs w:val="21"/>
              </w:rPr>
              <w:t>communication and information, budgeting technical assistance, risk management plan, programme agreements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Ilma Skukauskaitė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(from 1 January 2022 to 5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w:t>
            </w:r>
            <w:r>
              <w:rPr>
                <w:rFonts w:ascii="Times New Roman" w:eastAsia="Times New Roman" w:hAnsi="Times New Roman" w:cs="Times New Roman"/>
                <w:color w:val="000000"/>
                <w:sz w:val="21"/>
                <w:szCs w:val="21"/>
              </w:rPr>
              <w:t>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Ilma Skukauskaitė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6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36</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Milda Kaminskaitė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Coordinating work on the description of the MCS, changing MCS description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Dovilė Katinienė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3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Chief </w:t>
            </w:r>
            <w:r>
              <w:rPr>
                <w:rFonts w:ascii="Times New Roman" w:eastAsia="Times New Roman" w:hAnsi="Times New Roman" w:cs="Times New Roman"/>
                <w:color w:val="000000"/>
                <w:sz w:val="21"/>
                <w:szCs w:val="21"/>
              </w:rPr>
              <w:t>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Coordinating work on the description of the MCS, changing MCS description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Edita Petrauskaitė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(since 1 January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 xml:space="preserve">MoF, Management and </w:t>
            </w:r>
            <w:r>
              <w:rPr>
                <w:rFonts w:ascii="Times New Roman" w:eastAsia="Times New Roman" w:hAnsi="Times New Roman" w:cs="Times New Roman"/>
                <w:color w:val="000000"/>
                <w:sz w:val="21"/>
                <w:szCs w:val="21"/>
              </w:rPr>
              <w:lastRenderedPageBreak/>
              <w:t xml:space="preserve">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Communication and information, </w:t>
            </w:r>
            <w:r>
              <w:rPr>
                <w:rFonts w:ascii="Times New Roman" w:eastAsia="Times New Roman" w:hAnsi="Times New Roman" w:cs="Times New Roman"/>
                <w:color w:val="000000"/>
                <w:sz w:val="21"/>
                <w:szCs w:val="21"/>
              </w:rPr>
              <w:lastRenderedPageBreak/>
              <w:t>budgeting techni</w:t>
            </w:r>
            <w:r>
              <w:rPr>
                <w:rFonts w:ascii="Times New Roman" w:eastAsia="Times New Roman" w:hAnsi="Times New Roman" w:cs="Times New Roman"/>
                <w:color w:val="000000"/>
                <w:sz w:val="21"/>
                <w:szCs w:val="21"/>
              </w:rPr>
              <w:t>cal assistance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50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Eglė Kulikauskienė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15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Coordinating work on the description of the MCS, changing MCS description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Akvilė Juodienė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7 March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Management and Control Systems Maintenance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Arūnas Malinovskis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Communication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Jovita Valeikaite - La Fererra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Communication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Nerijus Gedeika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Communication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Communication and information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Irmantas Mikulėnas</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30 November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w:t>
            </w:r>
          </w:p>
          <w:p w:rsidR="00A37E99" w:rsidRDefault="00E74D2D">
            <w:pPr>
              <w:spacing w:before="240" w:after="240"/>
              <w:ind w:left="108" w:right="108"/>
              <w:rPr>
                <w:color w:val="000000"/>
              </w:rPr>
            </w:pPr>
            <w:r>
              <w:rPr>
                <w:rFonts w:ascii="Times New Roman" w:eastAsia="Times New Roman" w:hAnsi="Times New Roman" w:cs="Times New Roman"/>
                <w:color w:val="000000"/>
                <w:sz w:val="21"/>
                <w:szCs w:val="21"/>
              </w:rPr>
              <w:t>Fiscal Policy Department</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Director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Živilė Turevičienė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December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Public Investment and Project Evaluation Division</w:t>
            </w:r>
          </w:p>
          <w:p w:rsidR="00A37E99" w:rsidRDefault="00E74D2D">
            <w:pPr>
              <w:spacing w:before="240" w:after="240"/>
              <w:ind w:left="108" w:right="108"/>
              <w:rPr>
                <w:color w:val="000000"/>
              </w:rPr>
            </w:pPr>
            <w:r>
              <w:rPr>
                <w:color w:val="000000"/>
              </w:rPr>
              <w:t> </w:t>
            </w:r>
          </w:p>
          <w:p w:rsidR="00A37E99" w:rsidRDefault="00E74D2D">
            <w:pPr>
              <w:spacing w:before="240" w:after="240"/>
              <w:ind w:left="108" w:right="108"/>
              <w:rPr>
                <w:color w:val="000000"/>
              </w:rPr>
            </w:pPr>
            <w:r>
              <w:rPr>
                <w:rFonts w:ascii="Times New Roman" w:eastAsia="Times New Roman" w:hAnsi="Times New Roman" w:cs="Times New Roman"/>
                <w:color w:val="000000"/>
                <w:sz w:val="21"/>
                <w:szCs w:val="21"/>
              </w:rPr>
              <w:t>Head</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lastRenderedPageBreak/>
              <w:t>Justina Žvirblytė</w:t>
            </w:r>
            <w:r>
              <w:rPr>
                <w:rFonts w:ascii="Calibri" w:eastAsia="Calibri" w:hAnsi="Calibri" w:cs="Calibri"/>
                <w:color w:val="000000"/>
                <w:sz w:val="22"/>
              </w:rPr>
              <w:t xml:space="preserve">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30 November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w:t>
            </w:r>
          </w:p>
          <w:p w:rsidR="00A37E99" w:rsidRDefault="00E74D2D">
            <w:pPr>
              <w:spacing w:before="240" w:after="240"/>
              <w:ind w:left="108" w:right="108"/>
              <w:rPr>
                <w:color w:val="000000"/>
              </w:rPr>
            </w:pPr>
            <w:r>
              <w:rPr>
                <w:rFonts w:ascii="Times New Roman" w:eastAsia="Times New Roman" w:hAnsi="Times New Roman" w:cs="Times New Roman"/>
                <w:color w:val="000000"/>
                <w:sz w:val="21"/>
                <w:szCs w:val="21"/>
              </w:rPr>
              <w:t>Fiscal Policy Department, Economic Analysis and Evaluation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Chief </w:t>
            </w:r>
            <w:r>
              <w:rPr>
                <w:rFonts w:ascii="Times New Roman" w:eastAsia="Times New Roman" w:hAnsi="Times New Roman" w:cs="Times New Roman"/>
                <w:color w:val="000000"/>
                <w:sz w:val="21"/>
                <w:szCs w:val="21"/>
              </w:rPr>
              <w:t>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Justina Žvirblytė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1 December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Public Investment and Project Evaluation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Evaluation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Brigita Šidlauskaitė-Riazanova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Organization and coordination of activities of the division related to the performance of the PA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Jolanta Puodžiūnienė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Functions related to the performance of the</w:t>
            </w:r>
            <w:r>
              <w:rPr>
                <w:rFonts w:ascii="Times New Roman" w:eastAsia="Times New Roman" w:hAnsi="Times New Roman" w:cs="Times New Roman"/>
                <w:color w:val="000000"/>
                <w:sz w:val="21"/>
                <w:szCs w:val="21"/>
              </w:rPr>
              <w:t xml:space="preserve"> PA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Živilė Grigienė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(until 2022-04-01)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National legislation and other tasks related to the performance of the PA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Vilma Jankaitienė (since 2022-10-01)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State Treasury Department, Financing and </w:t>
            </w:r>
            <w:r>
              <w:rPr>
                <w:rFonts w:ascii="Times New Roman" w:eastAsia="Times New Roman" w:hAnsi="Times New Roman" w:cs="Times New Roman"/>
                <w:color w:val="000000"/>
                <w:sz w:val="21"/>
                <w:szCs w:val="21"/>
              </w:rPr>
              <w:lastRenderedPageBreak/>
              <w:t>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National legislation and other tasks related to the performance of </w:t>
            </w:r>
            <w:r>
              <w:rPr>
                <w:rFonts w:ascii="Times New Roman" w:eastAsia="Times New Roman" w:hAnsi="Times New Roman" w:cs="Times New Roman"/>
                <w:color w:val="000000"/>
                <w:sz w:val="21"/>
                <w:szCs w:val="21"/>
              </w:rPr>
              <w:lastRenderedPageBreak/>
              <w:t>the PA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Jurgita Subačienė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Chief </w:t>
            </w:r>
            <w:r>
              <w:rPr>
                <w:rFonts w:ascii="Times New Roman" w:eastAsia="Times New Roman" w:hAnsi="Times New Roman" w:cs="Times New Roman"/>
                <w:color w:val="000000"/>
                <w:sz w:val="21"/>
                <w:szCs w:val="21"/>
              </w:rPr>
              <w:t>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Functions related to the performance of the PA functions: payment of funds and other assigned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0,2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Vaida Matiliūnienė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Functions related to the </w:t>
            </w:r>
            <w:r>
              <w:rPr>
                <w:rFonts w:ascii="Times New Roman" w:eastAsia="Times New Roman" w:hAnsi="Times New Roman" w:cs="Times New Roman"/>
                <w:color w:val="000000"/>
                <w:sz w:val="21"/>
                <w:szCs w:val="21"/>
              </w:rPr>
              <w:t>performance of the PA functions: payment of funds and other assigned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0,1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Deivydas Černiauskas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Functions related to the performance of the PA functions: </w:t>
            </w:r>
            <w:r>
              <w:rPr>
                <w:rFonts w:ascii="Times New Roman" w:eastAsia="Times New Roman" w:hAnsi="Times New Roman" w:cs="Times New Roman"/>
                <w:color w:val="000000"/>
                <w:sz w:val="21"/>
                <w:szCs w:val="21"/>
              </w:rPr>
              <w:t>payment of funds and other assigned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0,1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Laima Mikulėnienė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Financing and Analysis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Functions related to the performance of the PA functions: payment of funds and other assigned </w:t>
            </w:r>
            <w:r>
              <w:rPr>
                <w:rFonts w:ascii="Times New Roman" w:eastAsia="Times New Roman" w:hAnsi="Times New Roman" w:cs="Times New Roman"/>
                <w:color w:val="000000"/>
                <w:sz w:val="21"/>
                <w:szCs w:val="21"/>
              </w:rPr>
              <w:t>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0,3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Agna Balcevič</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Treasury Accounting and Reporting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MoF, State Treasury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Gerda Voisiatienė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Treasury Accounting and Reporting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MoF, State Treasury Department,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Lina Stuglienė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State Treasury Department, Treasury Accounting and Reporting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Functions related to the performance of the PA functions: accounting of funds and other assigned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Lina Janionytė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CPMA, Lithuanian and Multilateral Programmes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NORIS (administrator, help manager), national legislation, FBR (acting as the Fund administrator)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41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Neringa Janušienė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CPMA, Lithuanian and Multilateral Programmes </w:t>
            </w:r>
            <w:r>
              <w:rPr>
                <w:rFonts w:ascii="Times New Roman" w:eastAsia="Times New Roman" w:hAnsi="Times New Roman" w:cs="Times New Roman"/>
                <w:color w:val="000000"/>
                <w:sz w:val="21"/>
                <w:szCs w:val="21"/>
              </w:rPr>
              <w:t>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Project Manager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NORIS (functional administrator, help manager), FBR (acting as the Fund administrator)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100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Gediminas Gasperas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CPMA, Lithuanian and Multilateral Programmes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NORIS Expert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(development, maintenance)</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Mindaugas Laurynaitis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CPMA, Lithuanian and </w:t>
            </w:r>
            <w:r>
              <w:rPr>
                <w:rFonts w:ascii="Times New Roman" w:eastAsia="Times New Roman" w:hAnsi="Times New Roman" w:cs="Times New Roman"/>
                <w:color w:val="000000"/>
                <w:sz w:val="21"/>
                <w:szCs w:val="21"/>
              </w:rPr>
              <w:lastRenderedPageBreak/>
              <w:t>Multilateral Programmes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NORIS Project Manager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NORIS (system administrator)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jc w:val="center"/>
              <w:rPr>
                <w:color w:val="000000"/>
              </w:rPr>
            </w:pPr>
            <w:r>
              <w:rPr>
                <w:color w:val="000000"/>
              </w:rPr>
              <w:lastRenderedPageBreak/>
              <w:t> </w:t>
            </w:r>
          </w:p>
          <w:p w:rsidR="00A37E99" w:rsidRDefault="00E74D2D">
            <w:pPr>
              <w:spacing w:before="240" w:after="0"/>
              <w:ind w:left="108" w:right="108"/>
              <w:rPr>
                <w:color w:val="000000"/>
              </w:rPr>
            </w:pPr>
            <w:r>
              <w:rPr>
                <w:rFonts w:ascii="Times New Roman" w:eastAsia="Times New Roman" w:hAnsi="Times New Roman" w:cs="Times New Roman"/>
                <w:color w:val="000000"/>
                <w:sz w:val="21"/>
                <w:szCs w:val="21"/>
              </w:rPr>
              <w:t>Vaidas Prascienius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jc w:val="both"/>
              <w:rPr>
                <w:color w:val="000000"/>
              </w:rPr>
            </w:pPr>
            <w:r>
              <w:rPr>
                <w:rFonts w:ascii="Times New Roman" w:eastAsia="Times New Roman" w:hAnsi="Times New Roman" w:cs="Times New Roman"/>
                <w:color w:val="000000"/>
                <w:sz w:val="21"/>
                <w:szCs w:val="21"/>
              </w:rPr>
              <w:t>CPMA, International Assistance Finance Division</w:t>
            </w:r>
          </w:p>
          <w:p w:rsidR="00A37E99" w:rsidRDefault="00E74D2D">
            <w:pPr>
              <w:spacing w:before="240" w:after="240"/>
              <w:ind w:left="108" w:right="108"/>
              <w:jc w:val="both"/>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Financier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(administrator, help</w:t>
            </w:r>
            <w:r>
              <w:rPr>
                <w:rFonts w:ascii="Times New Roman" w:eastAsia="Times New Roman" w:hAnsi="Times New Roman" w:cs="Times New Roman"/>
                <w:color w:val="000000"/>
                <w:sz w:val="21"/>
                <w:szCs w:val="21"/>
              </w:rPr>
              <w:t xml:space="preserve"> manager)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7</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Justas Šakočius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CPMA, Law and Quality Control Division</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Senior Lawyer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FBR (acting as the Fund administrator, legal issues)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 xml:space="preserve">Toma Kirstukienė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jc w:val="both"/>
              <w:rPr>
                <w:color w:val="000000"/>
              </w:rPr>
            </w:pPr>
            <w:r>
              <w:rPr>
                <w:rFonts w:ascii="Times New Roman" w:eastAsia="Times New Roman" w:hAnsi="Times New Roman" w:cs="Times New Roman"/>
                <w:color w:val="000000"/>
                <w:sz w:val="21"/>
                <w:szCs w:val="21"/>
              </w:rPr>
              <w:t>CPMA, Financial Management and Accounting Division</w:t>
            </w:r>
          </w:p>
          <w:p w:rsidR="00A37E99" w:rsidRDefault="00E74D2D">
            <w:pPr>
              <w:spacing w:before="240" w:after="240"/>
              <w:ind w:left="108" w:right="108"/>
              <w:jc w:val="both"/>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Financier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 xml:space="preserve">FBR (acting as the Fund </w:t>
            </w:r>
            <w:r>
              <w:rPr>
                <w:rFonts w:ascii="Times New Roman" w:eastAsia="Times New Roman" w:hAnsi="Times New Roman" w:cs="Times New Roman"/>
                <w:color w:val="000000"/>
                <w:sz w:val="21"/>
                <w:szCs w:val="21"/>
              </w:rPr>
              <w:t>administrator, declaration of expenditure to the auditing service provider)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Vilma Vaičeliūnė (until May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CPMA, Financial Management and Accounting Division</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 xml:space="preserve">FBR (acting as the Fund administrator, declaration of expenditure to the auditing </w:t>
            </w:r>
            <w:r>
              <w:rPr>
                <w:rFonts w:ascii="Times New Roman" w:eastAsia="Times New Roman" w:hAnsi="Times New Roman" w:cs="Times New Roman"/>
                <w:color w:val="000000"/>
                <w:sz w:val="21"/>
                <w:szCs w:val="21"/>
              </w:rPr>
              <w:t>service provider)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9</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YES</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Daiva Grigorjeva</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January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jc w:val="both"/>
              <w:rPr>
                <w:color w:val="000000"/>
              </w:rPr>
            </w:pPr>
            <w:r>
              <w:rPr>
                <w:rFonts w:ascii="Times New Roman" w:eastAsia="Times New Roman" w:hAnsi="Times New Roman" w:cs="Times New Roman"/>
                <w:color w:val="000000"/>
                <w:sz w:val="21"/>
                <w:szCs w:val="21"/>
              </w:rPr>
              <w:t>CPMA, Law and Quality Control Division</w:t>
            </w:r>
          </w:p>
          <w:p w:rsidR="00A37E99" w:rsidRDefault="00E74D2D">
            <w:pPr>
              <w:spacing w:before="240" w:after="240"/>
              <w:ind w:left="108" w:right="108"/>
              <w:jc w:val="both"/>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Process Analyst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2"/>
              </w:rPr>
              <w:t>FBR (acting as the Fund administrator, financial issues)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color w:val="000000"/>
              </w:rPr>
              <w:t>YES</w:t>
            </w:r>
          </w:p>
        </w:tc>
      </w:tr>
      <w:tr w:rsidR="00A37E99">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rsidR="00A37E99" w:rsidRDefault="00E74D2D">
            <w:pPr>
              <w:pStyle w:val="tddiv"/>
              <w:spacing w:after="0"/>
              <w:ind w:left="108" w:right="108"/>
              <w:rPr>
                <w:color w:val="000000"/>
              </w:rPr>
            </w:pPr>
            <w:r>
              <w:rPr>
                <w:b/>
                <w:bCs/>
                <w:color w:val="000000"/>
              </w:rPr>
              <w:t>Certifying Authority</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Aušra Baliukonienė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Expenditure </w:t>
            </w:r>
            <w:r>
              <w:rPr>
                <w:rFonts w:ascii="Times New Roman" w:eastAsia="Times New Roman" w:hAnsi="Times New Roman" w:cs="Times New Roman"/>
                <w:color w:val="000000"/>
                <w:sz w:val="21"/>
                <w:szCs w:val="21"/>
              </w:rPr>
              <w:t>Declaration Department</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Director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Organization and coordination of activities of the department related to the </w:t>
            </w:r>
            <w:r>
              <w:rPr>
                <w:rFonts w:ascii="Times New Roman" w:eastAsia="Times New Roman" w:hAnsi="Times New Roman" w:cs="Times New Roman"/>
                <w:color w:val="000000"/>
                <w:sz w:val="21"/>
                <w:szCs w:val="21"/>
              </w:rPr>
              <w:lastRenderedPageBreak/>
              <w:t>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5</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Aušra Urniežė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MoF, Expenditure Declaration Division</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Organization and coordination of activities of the d</w:t>
            </w:r>
            <w:r>
              <w:rPr>
                <w:rFonts w:ascii="Times New Roman" w:eastAsia="Times New Roman" w:hAnsi="Times New Roman" w:cs="Times New Roman"/>
                <w:color w:val="000000"/>
                <w:sz w:val="21"/>
                <w:szCs w:val="21"/>
              </w:rPr>
              <w:t>ivision related to the 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17</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Aurelija Naudžiūnienė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Expenditure Declaration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Coordination of activities of the division related to expenditure eligibility, forecast and other tasks related to the </w:t>
            </w:r>
            <w:r>
              <w:rPr>
                <w:rFonts w:ascii="Times New Roman" w:eastAsia="Times New Roman" w:hAnsi="Times New Roman" w:cs="Times New Roman"/>
                <w:color w:val="000000"/>
                <w:sz w:val="21"/>
                <w:szCs w:val="21"/>
              </w:rPr>
              <w:t>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Donatas Skara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Expenditure Declaration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national legislation and other tasks related to the 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Danguolė Diana Banienė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Expenditure Declaration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National legislation and other tasks related to the 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Marius Elzbutas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Expenditure Declaration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Functions related to the performance </w:t>
            </w:r>
            <w:r>
              <w:rPr>
                <w:rFonts w:ascii="Times New Roman" w:eastAsia="Times New Roman" w:hAnsi="Times New Roman" w:cs="Times New Roman"/>
                <w:color w:val="000000"/>
                <w:sz w:val="21"/>
                <w:szCs w:val="21"/>
              </w:rPr>
              <w:t>of the CA functions, forecast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Vaida Patkamarienė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Expenditure Declaration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Functions related to the performance of the CA functions, forecast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20</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Natalija Ranceva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Organization and coordination of activities of the division related to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Edita Najulienė</w:t>
            </w:r>
            <w:r>
              <w:rPr>
                <w:color w:val="000000"/>
              </w:rPr>
              <w:t>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w:t>
            </w:r>
            <w:r>
              <w:rPr>
                <w:rFonts w:ascii="Times New Roman" w:eastAsia="Times New Roman" w:hAnsi="Times New Roman" w:cs="Times New Roman"/>
                <w:color w:val="000000"/>
                <w:sz w:val="21"/>
                <w:szCs w:val="21"/>
              </w:rPr>
              <w:lastRenderedPageBreak/>
              <w:t xml:space="preserve">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NORIS </w:t>
            </w:r>
            <w:r>
              <w:rPr>
                <w:rFonts w:ascii="Times New Roman" w:eastAsia="Times New Roman" w:hAnsi="Times New Roman" w:cs="Times New Roman"/>
                <w:color w:val="000000"/>
                <w:sz w:val="21"/>
                <w:szCs w:val="21"/>
              </w:rPr>
              <w:t xml:space="preserve">national legislation and </w:t>
            </w:r>
            <w:r>
              <w:rPr>
                <w:rFonts w:ascii="Times New Roman" w:eastAsia="Times New Roman" w:hAnsi="Times New Roman" w:cs="Times New Roman"/>
                <w:color w:val="000000"/>
                <w:sz w:val="21"/>
                <w:szCs w:val="21"/>
              </w:rPr>
              <w:lastRenderedPageBreak/>
              <w:t>other tasks related to the 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Jurgita Vileitienė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national legislation and other tasks related to the performance</w:t>
            </w:r>
            <w:r>
              <w:rPr>
                <w:rFonts w:ascii="Times New Roman" w:eastAsia="Times New Roman" w:hAnsi="Times New Roman" w:cs="Times New Roman"/>
                <w:color w:val="000000"/>
                <w:sz w:val="21"/>
                <w:szCs w:val="21"/>
              </w:rPr>
              <w:t xml:space="preserv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Odeta Vaitkuvienė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National legislation and other tasks related to the performance of the CA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7</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rsidR="00A37E99" w:rsidRDefault="00E74D2D">
            <w:pPr>
              <w:pStyle w:val="tddiv"/>
              <w:spacing w:after="0"/>
              <w:ind w:left="108" w:right="108"/>
              <w:rPr>
                <w:color w:val="000000"/>
              </w:rPr>
            </w:pPr>
            <w:r>
              <w:rPr>
                <w:b/>
                <w:bCs/>
                <w:color w:val="000000"/>
              </w:rPr>
              <w:t>Audit Authority</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Rolandas Pauža</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Centralised Internal Audit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jc w:val="both"/>
              <w:rPr>
                <w:color w:val="000000"/>
              </w:rPr>
            </w:pPr>
            <w:r>
              <w:rPr>
                <w:rFonts w:ascii="Times New Roman" w:eastAsia="Times New Roman" w:hAnsi="Times New Roman" w:cs="Times New Roman"/>
                <w:color w:val="000000"/>
                <w:sz w:val="21"/>
                <w:szCs w:val="21"/>
              </w:rPr>
              <w:t xml:space="preserve">Control and coordination of the AA functions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11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Rasa Mockuvienė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(until 3 November 2022)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Centralised Internal Audit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Audits described in Articles 5.5 and 5.7 of the Regulations, preparation of the audit strategy, annual and final audit reports, closure declaration and other AA functions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Jurgita Kvetkauskaitė</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(since 23 January 2023)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Centralised Internal Audit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 xml:space="preserve">Audits described in Articles 5.5 and 5.7 of the Regulations and other AA functions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83</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0" w:type="auto"/>
            <w:gridSpan w:val="5"/>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hideMark/>
          </w:tcPr>
          <w:p w:rsidR="00A37E99" w:rsidRDefault="00E74D2D">
            <w:pPr>
              <w:pStyle w:val="tddiv"/>
              <w:spacing w:after="0"/>
              <w:ind w:left="108" w:right="108"/>
              <w:rPr>
                <w:color w:val="000000"/>
              </w:rPr>
            </w:pPr>
            <w:r>
              <w:rPr>
                <w:b/>
                <w:bCs/>
                <w:color w:val="000000"/>
              </w:rPr>
              <w:t>Irregularities Authority</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Aušra Baliukonienė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Investment Expenditure Declaration Department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Director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Organization and coordination of activities of the department related to the performance of </w:t>
            </w:r>
            <w:r>
              <w:rPr>
                <w:rFonts w:ascii="Times New Roman" w:eastAsia="Times New Roman" w:hAnsi="Times New Roman" w:cs="Times New Roman"/>
                <w:color w:val="000000"/>
                <w:sz w:val="21"/>
                <w:szCs w:val="21"/>
              </w:rPr>
              <w:lastRenderedPageBreak/>
              <w:t>the IrRA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lastRenderedPageBreak/>
              <w:t>1</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lastRenderedPageBreak/>
              <w:t xml:space="preserve">Natalija Ranceva </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Head</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Organization and coordination of activities of</w:t>
            </w:r>
            <w:r>
              <w:rPr>
                <w:rFonts w:ascii="Times New Roman" w:eastAsia="Times New Roman" w:hAnsi="Times New Roman" w:cs="Times New Roman"/>
                <w:color w:val="000000"/>
                <w:sz w:val="21"/>
                <w:szCs w:val="21"/>
              </w:rPr>
              <w:t xml:space="preserve"> the division related to the IrRA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Bdr>
                <w:left w:val="none" w:sz="0" w:space="5" w:color="auto"/>
                <w:right w:val="none" w:sz="0" w:space="5" w:color="auto"/>
              </w:pBdr>
              <w:spacing w:after="0"/>
              <w:ind w:left="108" w:right="108"/>
              <w:rPr>
                <w:color w:val="000000"/>
              </w:rPr>
            </w:pPr>
            <w:r>
              <w:rPr>
                <w:rFonts w:ascii="Times New Roman" w:eastAsia="Times New Roman" w:hAnsi="Times New Roman" w:cs="Times New Roman"/>
                <w:color w:val="000000"/>
                <w:sz w:val="21"/>
                <w:szCs w:val="21"/>
              </w:rPr>
              <w:t>Edita Najulienė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Advisor</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national legislation and other tasks related to the performance of the IrRA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2</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Jurgita Vileitienė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national legislation and other tasks related to the performance of the IrRA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7</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r w:rsidR="00A37E99">
        <w:trPr>
          <w:tblCellSpacing w:w="0" w:type="dxa"/>
        </w:trPr>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Odeta Vaitkuvienė</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spacing w:after="240"/>
              <w:ind w:left="108" w:right="108"/>
              <w:rPr>
                <w:color w:val="000000"/>
              </w:rPr>
            </w:pPr>
            <w:r>
              <w:rPr>
                <w:rFonts w:ascii="Times New Roman" w:eastAsia="Times New Roman" w:hAnsi="Times New Roman" w:cs="Times New Roman"/>
                <w:color w:val="000000"/>
                <w:sz w:val="21"/>
                <w:szCs w:val="21"/>
              </w:rPr>
              <w:t xml:space="preserve">MoF, Recoveries and Expenditure at Risk Assessment Division </w:t>
            </w:r>
          </w:p>
          <w:p w:rsidR="00A37E99" w:rsidRDefault="00E74D2D">
            <w:pPr>
              <w:spacing w:before="240" w:after="240"/>
              <w:ind w:left="108" w:right="108"/>
              <w:rPr>
                <w:color w:val="000000"/>
              </w:rPr>
            </w:pPr>
            <w:r>
              <w:rPr>
                <w:color w:val="000000"/>
              </w:rPr>
              <w:t> </w:t>
            </w:r>
          </w:p>
          <w:p w:rsidR="00A37E99" w:rsidRDefault="00E74D2D">
            <w:pPr>
              <w:spacing w:after="0"/>
              <w:ind w:left="108" w:right="108"/>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Chief Specialist</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rFonts w:ascii="Times New Roman" w:eastAsia="Times New Roman" w:hAnsi="Times New Roman" w:cs="Times New Roman"/>
                <w:color w:val="000000"/>
                <w:sz w:val="21"/>
                <w:szCs w:val="21"/>
              </w:rPr>
              <w:t>NORIS national legislation and other tasks related to the performance of the IrRA functions</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8</w:t>
            </w:r>
          </w:p>
        </w:tc>
        <w:tc>
          <w:tcPr>
            <w:tcW w:w="1000" w:type="pct"/>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hideMark/>
          </w:tcPr>
          <w:p w:rsidR="00A37E99" w:rsidRDefault="00E74D2D">
            <w:pPr>
              <w:pStyle w:val="tddiv"/>
              <w:spacing w:after="0"/>
              <w:ind w:left="108" w:right="108"/>
              <w:rPr>
                <w:color w:val="000000"/>
              </w:rPr>
            </w:pPr>
            <w:r>
              <w:rPr>
                <w:color w:val="000000"/>
              </w:rPr>
              <w:t>NO</w:t>
            </w:r>
          </w:p>
        </w:tc>
      </w:tr>
    </w:tbl>
    <w:p w:rsidR="00A37E99" w:rsidRDefault="00A37E99">
      <w:pPr>
        <w:sectPr w:rsidR="00A37E99" w:rsidSect="00502FB4">
          <w:headerReference w:type="even" r:id="rId40"/>
          <w:headerReference w:type="default" r:id="rId41"/>
          <w:footerReference w:type="even" r:id="rId42"/>
          <w:footerReference w:type="default" r:id="rId43"/>
          <w:headerReference w:type="first" r:id="rId44"/>
          <w:footerReference w:type="first" r:id="rId45"/>
          <w:pgSz w:w="11906" w:h="16838"/>
          <w:pgMar w:top="1417" w:right="1417" w:bottom="1417" w:left="1417" w:header="708" w:footer="708" w:gutter="0"/>
          <w:cols w:space="708"/>
          <w:docGrid w:linePitch="360"/>
        </w:sectPr>
      </w:pPr>
    </w:p>
    <w:p w:rsidR="00376A28" w:rsidRPr="00376A28" w:rsidRDefault="00E74D2D" w:rsidP="001861E1">
      <w:pPr>
        <w:pStyle w:val="Antrat2"/>
        <w:ind w:left="357"/>
      </w:pPr>
      <w:bookmarkStart w:id="37" w:name="_Toc256000030"/>
      <w:r>
        <w:lastRenderedPageBreak/>
        <w:t xml:space="preserve">Annex </w:t>
      </w:r>
      <w:r w:rsidR="000A7344">
        <w:t>E</w:t>
      </w:r>
      <w:r>
        <w:t>:</w:t>
      </w:r>
      <w:r w:rsidRPr="00376A28">
        <w:t xml:space="preserve"> Communication</w:t>
      </w:r>
      <w:r w:rsidR="00FF3ABD">
        <w:t xml:space="preserve"> summary</w:t>
      </w:r>
      <w:bookmarkEnd w:id="37"/>
    </w:p>
    <w:p w:rsidR="00A37E99" w:rsidRDefault="00E74D2D">
      <w:pPr>
        <w:pStyle w:val="Antrat3"/>
        <w:pBdr>
          <w:left w:val="none" w:sz="0" w:space="14" w:color="auto"/>
        </w:pBdr>
        <w:spacing w:after="281"/>
        <w:ind w:left="283"/>
        <w:rPr>
          <w:rFonts w:ascii="Calibri" w:eastAsia="Calibri" w:hAnsi="Calibri" w:cs="Calibri"/>
          <w:color w:val="3498DB"/>
          <w:sz w:val="28"/>
          <w:szCs w:val="28"/>
        </w:rPr>
      </w:pPr>
      <w:bookmarkStart w:id="38" w:name="_Toc256000031"/>
      <w:r>
        <w:t>1. Best projects</w:t>
      </w:r>
      <w:bookmarkEnd w:id="38"/>
    </w:p>
    <w:p w:rsidR="00A37E99" w:rsidRDefault="00E74D2D">
      <w:pPr>
        <w:pBdr>
          <w:left w:val="none" w:sz="0" w:space="14" w:color="auto"/>
        </w:pBdr>
        <w:spacing w:before="240" w:after="240"/>
        <w:ind w:left="283"/>
      </w:pPr>
      <w:r>
        <w:t xml:space="preserve">The information about </w:t>
      </w:r>
      <w:r>
        <w:t>communication is described in Chapter 2.</w:t>
      </w:r>
    </w:p>
    <w:p w:rsidR="00A37E99" w:rsidRDefault="00E74D2D">
      <w:pPr>
        <w:pStyle w:val="Antrat3"/>
        <w:pBdr>
          <w:left w:val="none" w:sz="0" w:space="14" w:color="auto"/>
        </w:pBdr>
        <w:spacing w:before="281" w:after="281"/>
        <w:ind w:left="283"/>
        <w:rPr>
          <w:rFonts w:ascii="Calibri" w:eastAsia="Calibri" w:hAnsi="Calibri" w:cs="Calibri"/>
          <w:color w:val="3498DB"/>
          <w:sz w:val="28"/>
          <w:szCs w:val="28"/>
        </w:rPr>
      </w:pPr>
      <w:bookmarkStart w:id="39" w:name="_Toc256000032"/>
      <w:r>
        <w:t>2. Visibility of the Grants and the Donors</w:t>
      </w:r>
      <w:bookmarkEnd w:id="39"/>
    </w:p>
    <w:p w:rsidR="00A37E99" w:rsidRDefault="00E74D2D">
      <w:pPr>
        <w:pBdr>
          <w:left w:val="none" w:sz="0" w:space="14" w:color="auto"/>
        </w:pBdr>
        <w:spacing w:before="240" w:after="240"/>
        <w:ind w:left="283"/>
        <w:jc w:val="both"/>
      </w:pPr>
      <w:r>
        <w:t>The informal joint communication working group, which consists of the representatives of the NFP, POs and a representative from the Royal Norwegian Embassy, continue to com</w:t>
      </w:r>
      <w:r>
        <w:t>municate remotely on topical communication issues. The aim is to emphasise the importance of mutual cooperation and to seek joint planning of communication activities and inter-institutional cooperation. It was agreed that the following key elements of the</w:t>
      </w:r>
      <w:r>
        <w:t xml:space="preserve"> Communication Strategy: the EEA and Norwegian financial mechanisms logos, the clarification and targeting of the slogan and the general objectives must be respected. All those, who are involved in the publicity of the EEA and Norwegian financial mechanism</w:t>
      </w:r>
      <w:r>
        <w:t>s 2014–2021 in Lithuania, are guided by the Communication Strategy. All programmes should contribute to at least one of the following themes: sustainability, inclusion, competitiveness or good governance. In addition, all programmes should include a bilate</w:t>
      </w:r>
      <w:r>
        <w:t>ral cooperation dimension.</w:t>
      </w:r>
      <w:r>
        <w:br/>
        <w:t>During the 12- month period (1 March 2022- 23 February 2023), a website received over 17 000 visitors, who spent on average 1.99 minutes on each session. A bounce rate – 57.03 %. More than 17 000 people used a website as a new we</w:t>
      </w:r>
      <w:r>
        <w:t>bsite user, so it means – for the first time. As we see, we have 17.3 % visitors, who are returning back to use the portal more times. In 2022, 33 news articles were published on a portal. </w:t>
      </w:r>
      <w:r>
        <w:br/>
        <w:t> </w:t>
      </w:r>
      <w:r>
        <w:rPr>
          <w:noProof/>
          <w:lang w:val="lt-LT" w:eastAsia="lt-LT"/>
        </w:rPr>
        <w:drawing>
          <wp:inline distT="0" distB="0" distL="0" distR="0" wp14:anchorId="7CCA40BE" wp14:editId="7622B6AD">
            <wp:extent cx="3810000" cy="990600"/>
            <wp:effectExtent l="0" t="0" r="0" b="0"/>
            <wp:docPr id="1092890403" name="Paveikslėlis 109289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890403" name="26797e92-c5bb-483b-8f55-f9202c18228c"/>
                    <pic:cNvPicPr>
                      <a:picLocks noChangeAspect="1"/>
                    </pic:cNvPicPr>
                  </pic:nvPicPr>
                  <pic:blipFill>
                    <a:blip r:embed="rId46"/>
                    <a:stretch>
                      <a:fillRect/>
                    </a:stretch>
                  </pic:blipFill>
                  <pic:spPr>
                    <a:xfrm>
                      <a:off x="0" y="0"/>
                      <a:ext cx="3810000" cy="990600"/>
                    </a:xfrm>
                    <a:prstGeom prst="rect">
                      <a:avLst/>
                    </a:prstGeom>
                  </pic:spPr>
                </pic:pic>
              </a:graphicData>
            </a:graphic>
          </wp:inline>
        </w:drawing>
      </w:r>
      <w:r>
        <w:br/>
      </w:r>
      <w:r>
        <w:t>    During the Lithuanian media monitoring period (January – De</w:t>
      </w:r>
      <w:r>
        <w:t>cember 2022), the flow of positive information about the EEA and Norwegian Financial Mechanisms has grown steadily. 60.3% of all the mentions were composed of references to the EEA and Norwegian financial mechanisms 687 messages (2021 – 470). During the an</w:t>
      </w:r>
      <w:r>
        <w:t>alysis period, the Internet and RTV of 791 Lithuanian press news agencies analysed notifications referring to the Grants. In 2022, as compared to 2021, there was an increase of as much as 18% in the amount of information (from 670 relevant reports to 791).</w:t>
      </w:r>
      <w:r>
        <w:t xml:space="preserve"> These announcements reached the largest audience - 194 million contacts. The reports were analysed using quantitative and qualitative parameters.</w:t>
      </w:r>
      <w:r>
        <w:br/>
      </w:r>
      <w:r>
        <w:rPr>
          <w:b/>
          <w:bCs/>
        </w:rPr>
        <w:t>Mentions by media type</w:t>
      </w:r>
      <w:r>
        <w:rPr>
          <w:b/>
          <w:bCs/>
        </w:rPr>
        <w:br/>
      </w:r>
      <w:r>
        <w:t>As in the previous year, communication on objects of analysis was the most active on o</w:t>
      </w:r>
      <w:r>
        <w:t>nline portals and regional publications. The topical category on the EEA and Norwegian financial mechanisms generated 185.2 million contacts on online portals (132.8 million contacts in 2021). The second-largest audience in online media was generated by Ac</w:t>
      </w:r>
      <w:r>
        <w:t>tive Citizens Fund, followed by mentions of the Culture programme, which grew its audience on the web portals almost 4 times.</w:t>
      </w:r>
      <w:r>
        <w:br/>
        <w:t>During the period under review, the flow of positive information increased as compared to the previous year, with as many as 402 p</w:t>
      </w:r>
      <w:r>
        <w:t>ositive mentions of the EEA and Norwegian Financial Mechanisms (159 last year) and 279 neutral mentions. In regard to the programmes analysed, the Programme “Culture” was mentioned most. </w:t>
      </w:r>
      <w:r>
        <w:br/>
        <w:t>When reviewing the regions, most of the information was published in</w:t>
      </w:r>
      <w:r>
        <w:t xml:space="preserve"> one of the largest regions of Lithuania - Kaunas, in a second place - Šiauliai and then follows Vilnius. </w:t>
      </w:r>
      <w:r>
        <w:br/>
        <w:t>Looking at the distribution of the reached audience in the regions, it can be seen that the most active in all regions were the announcements of Acti</w:t>
      </w:r>
      <w:r>
        <w:t>ve Citizens Fund programmes (mostly 2.6 million contacts were in Šiauliai regional media), as well as the Programmes “Culture” (1.9 million contacts). </w:t>
      </w:r>
      <w:r>
        <w:br/>
        <w:t xml:space="preserve">In 2022, 56 % of the reports were articles prepared on the basis of press releases. 31% of the </w:t>
      </w:r>
      <w:r>
        <w:lastRenderedPageBreak/>
        <w:t xml:space="preserve">articles </w:t>
      </w:r>
      <w:r>
        <w:t>were initiated by the media and the remaining 14 % were marked as outsourced. </w:t>
      </w:r>
      <w:r>
        <w:br/>
      </w:r>
      <w:r>
        <w:rPr>
          <w:b/>
          <w:bCs/>
        </w:rPr>
        <w:t>Public Survey </w:t>
      </w:r>
      <w:r>
        <w:rPr>
          <w:b/>
          <w:bCs/>
        </w:rPr>
        <w:br/>
      </w:r>
      <w:r>
        <w:t>In February 2022, a survey of the population of Lithuania on the EEA and Norwegian Financial Mechanisms was performed (1015 respondents). The goal was to find out</w:t>
      </w:r>
      <w:r>
        <w:t xml:space="preserve"> the awareness of the country's population about the Financial Mechanisms and the evaluation of the distribution, use and benefits of their funds for Lithuania.</w:t>
      </w:r>
      <w:r>
        <w:br/>
        <w:t>Awareness of Financial Mechanisms reaches 42%. When assessing which areas of projects should be</w:t>
      </w:r>
      <w:r>
        <w:t xml:space="preserve"> financed by Financial Mechanisms in order to give the greatest benefit to Lithuania, the most common projects are environment, energy and climate change prevention projects (50%). In the second place - business support and innovation projects (49%), in th</w:t>
      </w:r>
      <w:r>
        <w:t>e third place - research projects (42%). Health (39%) and support for the poor (26%) projects continue to be in line. </w:t>
      </w:r>
      <w:r>
        <w:br/>
        <w:t>The transparency of the distribution of funds under the Financial Mechanisms is assessed on a scale of 6.6 points to 10 points, where 1 m</w:t>
      </w:r>
      <w:r>
        <w:t>eans that the distribution of funds is completely non-transparent and 10 means that it is completely transparent. Respondents say that the Grants are used to reduce economic and social disparities and strengthen cooperation with donor states (the Kingdom o</w:t>
      </w:r>
      <w:r>
        <w:t>f Norway, Iceland and Liechtenstein) (43%). 38% of the respondents believe that funds for Financial Mechanisms are provided by non-EU countries and 36% of the respondents - that the following areas are financed in Lithuania through Financial Mechanisms: he</w:t>
      </w:r>
      <w:r>
        <w:t>alth, social dialogue, business development, research, civil society, justice, culture, environment and energy, and BRs.</w:t>
      </w:r>
      <w:r>
        <w:br/>
      </w:r>
      <w:r>
        <w:rPr>
          <w:b/>
          <w:bCs/>
        </w:rPr>
        <w:t>The main communication activity in 2022 and plans for 2023 </w:t>
      </w:r>
      <w:r>
        <w:rPr>
          <w:b/>
          <w:bCs/>
        </w:rPr>
        <w:br/>
        <w:t>Facebook.</w:t>
      </w:r>
      <w:r>
        <w:t xml:space="preserve"> In 2022, 47 posts were posted on a Facebook channel “Norvegija, I</w:t>
      </w:r>
      <w:r>
        <w:t>slandija ir Lichtenšteinas Lietuvai”.</w:t>
      </w:r>
      <w:r>
        <w:br/>
      </w:r>
      <w:r>
        <w:rPr>
          <w:b/>
          <w:bCs/>
        </w:rPr>
        <w:t xml:space="preserve">Communication campaign: 10 game series on the radio. </w:t>
      </w:r>
      <w:r>
        <w:t>Each week on the radio (June 27 – August 23), listeners were asked questions about Iceland, Norway and Liechtenstein. Listeners of the radio station had the opportun</w:t>
      </w:r>
      <w:r>
        <w:t>ity not only to learn more facts about Norway, Iceland and Liechtenstein, but also to win a prize - a flight by a hot air balloon. The communication campaign was heard by 537 000 people.</w:t>
      </w:r>
      <w:r>
        <w:br/>
      </w:r>
      <w:r>
        <w:rPr>
          <w:b/>
          <w:bCs/>
        </w:rPr>
        <w:t>2023. </w:t>
      </w:r>
      <w:r>
        <w:rPr>
          <w:b/>
          <w:bCs/>
        </w:rPr>
        <w:br/>
      </w:r>
      <w:r>
        <w:t>1) We are planning content project on social media in video fo</w:t>
      </w:r>
      <w:r>
        <w:t>rmat. </w:t>
      </w:r>
      <w:r>
        <w:br/>
        <w:t>2) Advertising in social networks: Facebook, Instagram and YouTube. In January 2023, 30-month contract was signed for concept creation and implementation services in social networks (240 posts/45 GIF/10 videos in 30 months).</w:t>
      </w:r>
      <w:r>
        <w:br/>
        <w:t>3) Communication seminar</w:t>
      </w:r>
      <w:r>
        <w:t xml:space="preserve"> for PP and agencies. </w:t>
      </w:r>
      <w:r>
        <w:br/>
        <w:t>4) Visit of the Lithuanian journalists to one of the Donor State. </w:t>
      </w:r>
      <w:r>
        <w:br/>
        <w:t>5) Events in the regions.  </w:t>
      </w:r>
    </w:p>
    <w:p w:rsidR="00A37E99" w:rsidRDefault="00E74D2D">
      <w:pPr>
        <w:pStyle w:val="Antrat3"/>
        <w:pBdr>
          <w:left w:val="none" w:sz="0" w:space="14" w:color="auto"/>
        </w:pBdr>
        <w:spacing w:before="281" w:after="281"/>
        <w:ind w:left="283"/>
        <w:rPr>
          <w:rFonts w:ascii="Calibri" w:eastAsia="Calibri" w:hAnsi="Calibri" w:cs="Calibri"/>
          <w:color w:val="3498DB"/>
          <w:sz w:val="28"/>
          <w:szCs w:val="28"/>
        </w:rPr>
      </w:pPr>
      <w:bookmarkStart w:id="40" w:name="_Toc256000033"/>
      <w:r>
        <w:t>3. Media coverage</w:t>
      </w:r>
      <w:bookmarkEnd w:id="40"/>
    </w:p>
    <w:p w:rsidR="00A37E99" w:rsidRDefault="00E74D2D">
      <w:pPr>
        <w:pBdr>
          <w:left w:val="none" w:sz="0" w:space="14" w:color="auto"/>
        </w:pBdr>
        <w:spacing w:before="240" w:after="240"/>
        <w:ind w:left="283"/>
      </w:pPr>
      <w:r>
        <w:t>.</w:t>
      </w:r>
    </w:p>
    <w:p w:rsidR="00A37E99" w:rsidRDefault="00E74D2D">
      <w:pPr>
        <w:pStyle w:val="Antrat3"/>
        <w:pBdr>
          <w:left w:val="none" w:sz="0" w:space="14" w:color="auto"/>
        </w:pBdr>
        <w:spacing w:before="281"/>
        <w:ind w:left="283"/>
        <w:rPr>
          <w:rFonts w:ascii="Calibri" w:eastAsia="Calibri" w:hAnsi="Calibri" w:cs="Calibri"/>
          <w:color w:val="3498DB"/>
          <w:sz w:val="28"/>
          <w:szCs w:val="28"/>
        </w:rPr>
      </w:pPr>
      <w:bookmarkStart w:id="41" w:name="_Toc256000034"/>
      <w:r>
        <w:t>4. Website and social media</w:t>
      </w:r>
      <w:bookmarkEnd w:id="41"/>
    </w:p>
    <w:tbl>
      <w:tblPr>
        <w:tblStyle w:val="table-width-portrait"/>
        <w:tblW w:w="9056" w:type="dxa"/>
        <w:tblInd w:w="283" w:type="dxa"/>
        <w:tblCellMar>
          <w:left w:w="0" w:type="dxa"/>
          <w:right w:w="0" w:type="dxa"/>
        </w:tblCellMar>
        <w:tblLook w:val="05E0" w:firstRow="1" w:lastRow="1" w:firstColumn="1" w:lastColumn="1" w:noHBand="0" w:noVBand="1"/>
      </w:tblPr>
      <w:tblGrid>
        <w:gridCol w:w="5434"/>
        <w:gridCol w:w="3622"/>
      </w:tblGrid>
      <w:tr w:rsidR="00A37E99">
        <w:tc>
          <w:tcPr>
            <w:tcW w:w="30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ddiv"/>
              <w:spacing w:after="0"/>
              <w:ind w:left="108" w:right="108"/>
              <w:rPr>
                <w:b/>
                <w:bCs/>
                <w:color w:val="000000"/>
              </w:rPr>
            </w:pPr>
            <w:r>
              <w:rPr>
                <w:b/>
                <w:bCs/>
                <w:color w:val="000000"/>
              </w:rPr>
              <w:t>Link to the National Focal Point’s (EEA and Norway Grants) webpage</w:t>
            </w:r>
          </w:p>
        </w:tc>
        <w:tc>
          <w:tcPr>
            <w:tcW w:w="2000" w:type="pct"/>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ddiv"/>
              <w:spacing w:after="0"/>
              <w:ind w:left="108" w:right="108"/>
              <w:rPr>
                <w:b/>
                <w:bCs/>
                <w:color w:val="000000"/>
              </w:rPr>
            </w:pPr>
            <w:r>
              <w:rPr>
                <w:b/>
                <w:bCs/>
                <w:color w:val="000000"/>
              </w:rPr>
              <w:t xml:space="preserve">Total number of page </w:t>
            </w:r>
            <w:r>
              <w:rPr>
                <w:b/>
                <w:bCs/>
                <w:color w:val="000000"/>
              </w:rPr>
              <w:t>views in the reporting year</w:t>
            </w:r>
          </w:p>
        </w:tc>
      </w:tr>
      <w:tr w:rsidR="00A37E99">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ddiv"/>
              <w:spacing w:after="0"/>
              <w:ind w:left="108" w:right="108"/>
              <w:rPr>
                <w:color w:val="000000"/>
              </w:rPr>
            </w:pPr>
            <w:hyperlink r:id="rId47" w:history="1">
              <w:r>
                <w:rPr>
                  <w:color w:val="0000EE"/>
                  <w:u w:val="single" w:color="0000EE"/>
                </w:rPr>
                <w:t>https://www.eeagrants.lt/</w:t>
              </w:r>
            </w:hyperlink>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ddiv"/>
              <w:spacing w:after="0"/>
              <w:ind w:left="108" w:right="108"/>
              <w:rPr>
                <w:color w:val="000000"/>
              </w:rPr>
            </w:pPr>
            <w:r>
              <w:rPr>
                <w:color w:val="000000"/>
              </w:rPr>
              <w:t>17000</w:t>
            </w:r>
          </w:p>
        </w:tc>
      </w:tr>
      <w:tr w:rsidR="00A37E99">
        <w:tc>
          <w:tcPr>
            <w:tcW w:w="0" w:type="auto"/>
            <w:gridSpan w:val="2"/>
            <w:tcMar>
              <w:top w:w="5" w:type="dxa"/>
              <w:left w:w="5" w:type="dxa"/>
              <w:bottom w:w="5" w:type="dxa"/>
              <w:right w:w="5" w:type="dxa"/>
            </w:tcMar>
            <w:vAlign w:val="center"/>
            <w:hideMark/>
          </w:tcPr>
          <w:p w:rsidR="00A37E99" w:rsidRDefault="00A37E99">
            <w:pPr>
              <w:pStyle w:val="tddiv"/>
              <w:spacing w:after="0"/>
              <w:ind w:left="108" w:right="108"/>
              <w:rPr>
                <w:color w:val="000000"/>
              </w:rPr>
            </w:pPr>
          </w:p>
        </w:tc>
      </w:tr>
    </w:tbl>
    <w:p w:rsidR="00A37E99" w:rsidRDefault="00A37E99">
      <w:pPr>
        <w:rPr>
          <w:vanish/>
        </w:rPr>
      </w:pPr>
    </w:p>
    <w:tbl>
      <w:tblPr>
        <w:tblStyle w:val="tablebordered"/>
        <w:tblW w:w="9056" w:type="dxa"/>
        <w:tblInd w:w="28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firstRow="1" w:lastRow="1" w:firstColumn="1" w:lastColumn="1" w:noHBand="0" w:noVBand="1"/>
      </w:tblPr>
      <w:tblGrid>
        <w:gridCol w:w="1149"/>
        <w:gridCol w:w="3989"/>
        <w:gridCol w:w="2441"/>
        <w:gridCol w:w="1477"/>
      </w:tblGrid>
      <w:tr w:rsidR="00A37E99">
        <w:tc>
          <w:tcPr>
            <w:tcW w:w="1149" w:type="dxa"/>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A37E99">
            <w:pPr>
              <w:pStyle w:val="thdiv"/>
              <w:spacing w:after="0"/>
              <w:ind w:left="108" w:right="108"/>
              <w:rPr>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div"/>
              <w:spacing w:after="0"/>
              <w:ind w:left="108" w:right="108"/>
              <w:rPr>
                <w:color w:val="000000"/>
              </w:rPr>
            </w:pPr>
            <w:r>
              <w:rPr>
                <w:color w:val="000000"/>
              </w:rPr>
              <w:t>Link or account handle</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div"/>
              <w:spacing w:after="0"/>
              <w:ind w:left="108" w:right="108"/>
              <w:rPr>
                <w:color w:val="000000"/>
              </w:rPr>
            </w:pPr>
            <w:r>
              <w:rPr>
                <w:color w:val="000000"/>
              </w:rPr>
              <w:t>Number of posts published in the reporting year</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hdiv"/>
              <w:spacing w:after="0"/>
              <w:ind w:left="108" w:right="108"/>
              <w:rPr>
                <w:color w:val="000000"/>
              </w:rPr>
            </w:pPr>
            <w:r>
              <w:rPr>
                <w:color w:val="000000"/>
              </w:rPr>
              <w:t>Number of followers</w:t>
            </w:r>
          </w:p>
        </w:tc>
      </w:tr>
      <w:tr w:rsidR="00A37E99">
        <w:tc>
          <w:tcPr>
            <w:tcW w:w="0" w:type="auto"/>
            <w:tcBorders>
              <w:top w:val="single" w:sz="6" w:space="0" w:color="000000"/>
              <w:left w:val="single" w:sz="6" w:space="0" w:color="000000"/>
              <w:bottom w:val="single" w:sz="6" w:space="0" w:color="000000"/>
              <w:right w:val="single" w:sz="6" w:space="0" w:color="000000"/>
            </w:tcBorders>
            <w:shd w:val="clear" w:color="auto" w:fill="DEDEDE"/>
            <w:tcMar>
              <w:top w:w="8" w:type="dxa"/>
              <w:left w:w="8" w:type="dxa"/>
              <w:bottom w:w="8" w:type="dxa"/>
              <w:right w:w="8" w:type="dxa"/>
            </w:tcMar>
            <w:vAlign w:val="center"/>
            <w:hideMark/>
          </w:tcPr>
          <w:p w:rsidR="00A37E99" w:rsidRDefault="00E74D2D">
            <w:pPr>
              <w:pStyle w:val="tddiv"/>
              <w:spacing w:after="0"/>
              <w:ind w:left="108" w:right="108"/>
              <w:rPr>
                <w:color w:val="000000"/>
              </w:rPr>
            </w:pPr>
            <w:r>
              <w:rPr>
                <w:color w:val="000000"/>
              </w:rPr>
              <w:t>Facebook</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ddiv"/>
              <w:spacing w:after="0"/>
              <w:ind w:left="108" w:right="108"/>
              <w:rPr>
                <w:color w:val="000000"/>
              </w:rPr>
            </w:pPr>
            <w:hyperlink r:id="rId48" w:history="1">
              <w:r>
                <w:rPr>
                  <w:color w:val="0000EE"/>
                  <w:u w:val="single" w:color="0000EE"/>
                </w:rPr>
                <w:t>https://www.facebook.com/EEEirNorvegi...</w:t>
              </w:r>
            </w:hyperlink>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drightdiv"/>
              <w:pBdr>
                <w:left w:val="none" w:sz="0" w:space="5" w:color="auto"/>
                <w:right w:val="none" w:sz="0" w:space="5" w:color="auto"/>
              </w:pBdr>
              <w:spacing w:after="0"/>
              <w:ind w:left="108" w:right="108"/>
              <w:rPr>
                <w:color w:val="000000"/>
              </w:rPr>
            </w:pPr>
            <w:r>
              <w:rPr>
                <w:color w:val="000000"/>
              </w:rPr>
              <w:t>47</w:t>
            </w:r>
          </w:p>
        </w:tc>
        <w:tc>
          <w:tcPr>
            <w:tcW w:w="0" w:type="auto"/>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vAlign w:val="center"/>
            <w:hideMark/>
          </w:tcPr>
          <w:p w:rsidR="00A37E99" w:rsidRDefault="00E74D2D">
            <w:pPr>
              <w:pStyle w:val="tdrightdiv"/>
              <w:pBdr>
                <w:left w:val="none" w:sz="0" w:space="5" w:color="auto"/>
                <w:right w:val="none" w:sz="0" w:space="5" w:color="auto"/>
              </w:pBdr>
              <w:spacing w:after="0"/>
              <w:ind w:left="108" w:right="108"/>
              <w:rPr>
                <w:color w:val="000000"/>
              </w:rPr>
            </w:pPr>
            <w:r>
              <w:rPr>
                <w:color w:val="000000"/>
              </w:rPr>
              <w:t>691</w:t>
            </w:r>
          </w:p>
        </w:tc>
      </w:tr>
    </w:tbl>
    <w:p w:rsidR="00A37E99" w:rsidRDefault="00E74D2D">
      <w:pPr>
        <w:pStyle w:val="Antrat3"/>
        <w:pBdr>
          <w:left w:val="none" w:sz="0" w:space="14" w:color="auto"/>
        </w:pBdr>
        <w:spacing w:before="281" w:after="281"/>
        <w:ind w:left="283"/>
        <w:rPr>
          <w:rFonts w:ascii="Calibri" w:eastAsia="Calibri" w:hAnsi="Calibri" w:cs="Calibri"/>
          <w:color w:val="3498DB"/>
          <w:sz w:val="28"/>
          <w:szCs w:val="28"/>
        </w:rPr>
      </w:pPr>
      <w:bookmarkStart w:id="42" w:name="_Toc256000035"/>
      <w:r>
        <w:t>5. Visuals</w:t>
      </w:r>
      <w:bookmarkEnd w:id="42"/>
    </w:p>
    <w:p w:rsidR="00A37E99" w:rsidRDefault="00E74D2D">
      <w:pPr>
        <w:pBdr>
          <w:left w:val="none" w:sz="0" w:space="14" w:color="auto"/>
        </w:pBdr>
        <w:spacing w:before="240" w:after="240"/>
        <w:ind w:left="283"/>
      </w:pPr>
      <w:r>
        <w:lastRenderedPageBreak/>
        <w:t>.</w:t>
      </w:r>
    </w:p>
    <w:sectPr w:rsidR="00A37E99" w:rsidSect="00E321AC">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4D2D">
      <w:pPr>
        <w:spacing w:after="0" w:line="240" w:lineRule="auto"/>
      </w:pPr>
      <w:r>
        <w:separator/>
      </w:r>
    </w:p>
  </w:endnote>
  <w:endnote w:type="continuationSeparator" w:id="0">
    <w:p w:rsidR="00000000" w:rsidRDefault="00E7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E74D2D" w:rsidP="0040431B">
    <w:pPr>
      <w:pStyle w:val="Porat"/>
      <w:ind w:left="0"/>
      <w:jc w:val="center"/>
    </w:pPr>
    <w:r w:rsidRPr="00FA0A33">
      <w:fldChar w:fldCharType="begin"/>
    </w:r>
    <w:r w:rsidRPr="00FA0A33">
      <w:instrText xml:space="preserve"> PAGE   \* MERGEFORMAT </w:instrText>
    </w:r>
    <w:r w:rsidRPr="00FA0A33">
      <w:fldChar w:fldCharType="separate"/>
    </w:r>
    <w:r w:rsidR="00C85F62">
      <w:rPr>
        <w:noProof/>
      </w:rPr>
      <w:t>2</w:t>
    </w:r>
    <w:r w:rsidRPr="00FA0A33">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0C" w:rsidRDefault="00433F0C">
    <w:pPr>
      <w:pStyle w:val="Por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Porat"/>
      <w:ind w:left="0"/>
      <w:jc w:val="center"/>
    </w:pPr>
    <w:r>
      <w:fldChar w:fldCharType="begin"/>
    </w:r>
    <w:r>
      <w:instrText xml:space="preserve"> PAGE   \* MERGEFORMAT </w:instrText>
    </w:r>
    <w:r>
      <w:fldChar w:fldCharType="separate"/>
    </w:r>
    <w:r>
      <w:rPr>
        <w:noProof/>
      </w:rPr>
      <w:t>36</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0C" w:rsidRDefault="00433F0C">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B" w:rsidRDefault="00C8530B">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Porat"/>
      <w:ind w:left="0"/>
      <w:jc w:val="center"/>
    </w:pPr>
    <w:r>
      <w:fldChar w:fldCharType="begin"/>
    </w:r>
    <w:r>
      <w:instrText xml:space="preserve"> PAGE   \* MERGEFORMAT </w:instrText>
    </w:r>
    <w:r>
      <w:fldChar w:fldCharType="separate"/>
    </w:r>
    <w:r>
      <w:rPr>
        <w:noProof/>
      </w:rPr>
      <w:t>37</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B" w:rsidRDefault="00C8530B">
    <w:pPr>
      <w:pStyle w:val="Pora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B4" w:rsidRDefault="00502FB4">
    <w:pPr>
      <w:pStyle w:val="Por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Porat"/>
      <w:ind w:left="0"/>
      <w:jc w:val="center"/>
    </w:pPr>
    <w:r>
      <w:fldChar w:fldCharType="begin"/>
    </w:r>
    <w:r>
      <w:instrText xml:space="preserve"> PAGE   \* MERGEFORMAT </w:instrText>
    </w:r>
    <w:r>
      <w:fldChar w:fldCharType="separate"/>
    </w:r>
    <w:r>
      <w:rPr>
        <w:noProof/>
      </w:rPr>
      <w:t>59</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B4" w:rsidRDefault="00502FB4">
    <w:pPr>
      <w:pStyle w:val="Pora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AC" w:rsidRDefault="00E321A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E74D2D" w:rsidP="0040431B">
    <w:pPr>
      <w:pStyle w:val="Porat"/>
      <w:ind w:left="0"/>
      <w:jc w:val="center"/>
    </w:pPr>
    <w:r w:rsidRPr="00FA0A33">
      <w:fldChar w:fldCharType="begin"/>
    </w:r>
    <w:r w:rsidRPr="00FA0A33">
      <w:instrText xml:space="preserve"> PAGE   \* MERGEFORMAT </w:instrText>
    </w:r>
    <w:r w:rsidRPr="00FA0A33">
      <w:fldChar w:fldCharType="separate"/>
    </w:r>
    <w:r>
      <w:rPr>
        <w:noProof/>
      </w:rPr>
      <w:t>2</w:t>
    </w:r>
    <w:r w:rsidRPr="00FA0A33">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Porat"/>
      <w:ind w:left="0"/>
      <w:jc w:val="center"/>
    </w:pPr>
    <w:r>
      <w:fldChar w:fldCharType="begin"/>
    </w:r>
    <w:r>
      <w:instrText xml:space="preserve"> PAGE   \* MERGEFORMAT </w:instrText>
    </w:r>
    <w:r>
      <w:fldChar w:fldCharType="separate"/>
    </w:r>
    <w:r>
      <w:rPr>
        <w:noProof/>
      </w:rPr>
      <w:t>62</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AC" w:rsidRDefault="00E321A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58367642"/>
      <w:docPartObj>
        <w:docPartGallery w:val="Page Numbers (Bottom of Page)"/>
        <w:docPartUnique/>
      </w:docPartObj>
    </w:sdtPr>
    <w:sdtEndPr>
      <w:rPr>
        <w:noProof/>
      </w:rPr>
    </w:sdtEndPr>
    <w:sdtContent>
      <w:p w:rsidR="00470315" w:rsidRPr="00470315" w:rsidRDefault="00E74D2D">
        <w:pPr>
          <w:pStyle w:val="Porat"/>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Pr>
            <w:noProof/>
            <w:color w:val="FFFFFF" w:themeColor="background1"/>
          </w:rPr>
          <w:t>1</w:t>
        </w:r>
        <w:r w:rsidRPr="00470315">
          <w:rPr>
            <w:noProof/>
            <w:color w:val="FFFFFF" w:themeColor="background1"/>
          </w:rPr>
          <w:fldChar w:fldCharType="end"/>
        </w:r>
      </w:p>
    </w:sdtContent>
  </w:sdt>
  <w:p w:rsidR="00470315" w:rsidRDefault="00470315">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E74D2D" w:rsidP="0040431B">
    <w:pPr>
      <w:pStyle w:val="Porat"/>
      <w:ind w:left="0"/>
      <w:jc w:val="center"/>
    </w:pPr>
    <w:r w:rsidRPr="00FA0A33">
      <w:fldChar w:fldCharType="begin"/>
    </w:r>
    <w:r w:rsidRPr="00FA0A33">
      <w:instrText xml:space="preserve"> PAGE   \* MERGEFORMAT </w:instrText>
    </w:r>
    <w:r w:rsidRPr="00FA0A33">
      <w:fldChar w:fldCharType="separate"/>
    </w:r>
    <w:r w:rsidR="00C85F62">
      <w:rPr>
        <w:noProof/>
      </w:rPr>
      <w:t>2</w:t>
    </w:r>
    <w:r w:rsidRPr="00FA0A3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Pr="00FA0A33" w:rsidRDefault="00E74D2D" w:rsidP="0040431B">
    <w:pPr>
      <w:pStyle w:val="Porat"/>
      <w:ind w:left="0"/>
      <w:jc w:val="center"/>
    </w:pPr>
    <w:r w:rsidRPr="00FA0A33">
      <w:fldChar w:fldCharType="begin"/>
    </w:r>
    <w:r w:rsidRPr="00FA0A33">
      <w:instrText xml:space="preserve"> PAGE   \* MERGEFORMAT </w:instrText>
    </w:r>
    <w:r w:rsidRPr="00FA0A33">
      <w:fldChar w:fldCharType="separate"/>
    </w:r>
    <w:r>
      <w:rPr>
        <w:noProof/>
      </w:rPr>
      <w:t>5</w:t>
    </w:r>
    <w:r w:rsidRPr="00FA0A3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58247195"/>
      <w:docPartObj>
        <w:docPartGallery w:val="Page Numbers (Bottom of Page)"/>
        <w:docPartUnique/>
      </w:docPartObj>
    </w:sdtPr>
    <w:sdtEndPr>
      <w:rPr>
        <w:noProof/>
      </w:rPr>
    </w:sdtEndPr>
    <w:sdtContent>
      <w:p w:rsidR="00470315" w:rsidRPr="00470315" w:rsidRDefault="00E74D2D">
        <w:pPr>
          <w:pStyle w:val="Porat"/>
          <w:jc w:val="center"/>
          <w:rPr>
            <w:color w:val="FFFFFF" w:themeColor="background1"/>
          </w:rPr>
        </w:pPr>
        <w:r w:rsidRPr="00470315">
          <w:rPr>
            <w:color w:val="FFFFFF" w:themeColor="background1"/>
          </w:rPr>
          <w:fldChar w:fldCharType="begin"/>
        </w:r>
        <w:r w:rsidRPr="00470315">
          <w:rPr>
            <w:color w:val="FFFFFF" w:themeColor="background1"/>
          </w:rPr>
          <w:instrText xml:space="preserve"> PAGE   \* MERGEFORMAT </w:instrText>
        </w:r>
        <w:r w:rsidRPr="00470315">
          <w:rPr>
            <w:color w:val="FFFFFF" w:themeColor="background1"/>
          </w:rPr>
          <w:fldChar w:fldCharType="separate"/>
        </w:r>
        <w:r w:rsidR="00C85F62">
          <w:rPr>
            <w:noProof/>
            <w:color w:val="FFFFFF" w:themeColor="background1"/>
          </w:rPr>
          <w:t>1</w:t>
        </w:r>
        <w:r w:rsidRPr="00470315">
          <w:rPr>
            <w:noProof/>
            <w:color w:val="FFFFFF" w:themeColor="background1"/>
          </w:rPr>
          <w:fldChar w:fldCharType="end"/>
        </w:r>
      </w:p>
    </w:sdtContent>
  </w:sdt>
  <w:p w:rsidR="00470315" w:rsidRDefault="00470315">
    <w:pPr>
      <w:pStyle w:val="Por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4" w:rsidRDefault="00941E64">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Porat"/>
      <w:ind w:left="0"/>
      <w:jc w:val="center"/>
    </w:pPr>
    <w:r>
      <w:fldChar w:fldCharType="begin"/>
    </w:r>
    <w:r>
      <w:instrText xml:space="preserve"> PAGE   \* MERGEFORMAT </w:instrText>
    </w:r>
    <w:r>
      <w:fldChar w:fldCharType="separate"/>
    </w:r>
    <w:r>
      <w:rPr>
        <w:noProof/>
      </w:rPr>
      <w:t>35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4" w:rsidRDefault="00941E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4D2D">
      <w:pPr>
        <w:spacing w:after="0" w:line="240" w:lineRule="auto"/>
      </w:pPr>
      <w:r>
        <w:separator/>
      </w:r>
    </w:p>
  </w:footnote>
  <w:footnote w:type="continuationSeparator" w:id="0">
    <w:p w:rsidR="00000000" w:rsidRDefault="00E7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E74D2D" w:rsidP="0040431B">
    <w:pPr>
      <w:pStyle w:val="Antrats"/>
      <w:ind w:left="0"/>
    </w:pPr>
    <w:r>
      <w:rPr>
        <w:noProof/>
        <w:lang w:val="lt-LT" w:eastAsia="lt-LT"/>
      </w:rPr>
      <w:drawing>
        <wp:inline distT="0" distB="0" distL="0" distR="0" wp14:anchorId="23E694C7" wp14:editId="5FE66185">
          <wp:extent cx="5731510" cy="589828"/>
          <wp:effectExtent l="0" t="0" r="2540" b="127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F0C" w:rsidRDefault="00433F0C">
    <w:pPr>
      <w:pStyle w:val="Antrat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D" w:rsidRDefault="00E74D2D" w:rsidP="00433F0C">
    <w:pPr>
      <w:pStyle w:val="Antrats"/>
      <w:ind w:left="0"/>
      <w:rPr>
        <w:sz w:val="16"/>
        <w:szCs w:val="16"/>
      </w:rPr>
    </w:pPr>
    <w:r>
      <w:rPr>
        <w:noProof/>
        <w:lang w:val="lt-LT" w:eastAsia="lt-LT"/>
      </w:rPr>
      <w:drawing>
        <wp:inline distT="0" distB="0" distL="0" distR="0" wp14:anchorId="15FE6322" wp14:editId="5B2DBB09">
          <wp:extent cx="5731510" cy="589828"/>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C34E60" w:rsidRPr="00EE210D" w:rsidRDefault="00C34E60" w:rsidP="00433F0C">
    <w:pPr>
      <w:pStyle w:val="Antrats"/>
      <w:ind w:left="0"/>
      <w:rPr>
        <w:sz w:val="16"/>
        <w:szCs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046D1E24" wp14:editId="692A04B2">
          <wp:extent cx="5731510" cy="589828"/>
          <wp:effectExtent l="0" t="0" r="2540" b="1270"/>
          <wp:docPr id="2402067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0677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B" w:rsidRDefault="00C8530B">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06" w:rsidRDefault="00E74D2D" w:rsidP="0058388E">
    <w:pPr>
      <w:pStyle w:val="Antrats"/>
      <w:ind w:left="0"/>
      <w:rPr>
        <w:sz w:val="16"/>
        <w:szCs w:val="16"/>
      </w:rPr>
    </w:pPr>
    <w:r>
      <w:rPr>
        <w:noProof/>
        <w:lang w:val="lt-LT" w:eastAsia="lt-LT"/>
      </w:rPr>
      <w:drawing>
        <wp:inline distT="0" distB="0" distL="0" distR="0" wp14:anchorId="0C0314A8" wp14:editId="6D3C2B66">
          <wp:extent cx="5731510" cy="589828"/>
          <wp:effectExtent l="0" t="0" r="2540" b="1270"/>
          <wp:docPr id="20633015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0159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C8530B" w:rsidRPr="00EE210D" w:rsidRDefault="00C8530B" w:rsidP="0058388E">
    <w:pPr>
      <w:pStyle w:val="Antrats"/>
      <w:ind w:left="0"/>
      <w:rPr>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3859D500" wp14:editId="694D3F08">
          <wp:extent cx="5731510" cy="589828"/>
          <wp:effectExtent l="0" t="0" r="2540" b="1270"/>
          <wp:docPr id="18479505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95059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B4" w:rsidRDefault="00502FB4">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D" w:rsidRDefault="00E74D2D" w:rsidP="00502FB4">
    <w:pPr>
      <w:pStyle w:val="Antrats"/>
      <w:ind w:left="0"/>
      <w:rPr>
        <w:sz w:val="16"/>
        <w:szCs w:val="16"/>
      </w:rPr>
    </w:pPr>
    <w:r>
      <w:rPr>
        <w:noProof/>
        <w:lang w:val="lt-LT" w:eastAsia="lt-LT"/>
      </w:rPr>
      <w:drawing>
        <wp:inline distT="0" distB="0" distL="0" distR="0" wp14:anchorId="53781489" wp14:editId="40B8A48F">
          <wp:extent cx="5731510" cy="589828"/>
          <wp:effectExtent l="0" t="0" r="2540" b="1270"/>
          <wp:docPr id="15851066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106670"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487FC5" w:rsidRPr="00EE210D" w:rsidRDefault="00487FC5" w:rsidP="00502FB4">
    <w:pPr>
      <w:pStyle w:val="Antrats"/>
      <w:ind w:left="0"/>
      <w:rPr>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068DE528" wp14:editId="0C9CF5E4">
          <wp:extent cx="5731510" cy="589828"/>
          <wp:effectExtent l="0" t="0" r="2540" b="1270"/>
          <wp:docPr id="9039092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0921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AC" w:rsidRDefault="00E321A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E74D2D" w:rsidP="0040431B">
    <w:pPr>
      <w:pStyle w:val="Antrats"/>
      <w:ind w:left="0"/>
    </w:pPr>
    <w:r>
      <w:rPr>
        <w:noProof/>
        <w:lang w:val="lt-LT" w:eastAsia="lt-LT"/>
      </w:rPr>
      <w:drawing>
        <wp:inline distT="0" distB="0" distL="0" distR="0" wp14:anchorId="2438133E" wp14:editId="164708E5">
          <wp:extent cx="5731510" cy="589828"/>
          <wp:effectExtent l="0" t="0" r="2540" b="127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3D" w:rsidRDefault="00E74D2D" w:rsidP="00E321AC">
    <w:pPr>
      <w:pStyle w:val="Antrats"/>
      <w:ind w:left="0"/>
    </w:pPr>
    <w:r>
      <w:rPr>
        <w:noProof/>
        <w:lang w:val="lt-LT" w:eastAsia="lt-LT"/>
      </w:rPr>
      <w:drawing>
        <wp:inline distT="0" distB="0" distL="0" distR="0">
          <wp:extent cx="5731510" cy="589828"/>
          <wp:effectExtent l="0" t="0" r="2540" b="1270"/>
          <wp:docPr id="149655978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59787"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EE617B" w:rsidRPr="00EE617B" w:rsidRDefault="00EE617B" w:rsidP="00E321AC">
    <w:pPr>
      <w:pStyle w:val="Antrats"/>
      <w:ind w:left="0"/>
      <w:rPr>
        <w:sz w:val="16"/>
        <w:szCs w:val="16"/>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extent cx="5731510" cy="589828"/>
          <wp:effectExtent l="0" t="0" r="2540" b="1270"/>
          <wp:docPr id="694150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50339"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3E2CE4BA" wp14:editId="5B4F7B80">
          <wp:extent cx="5731510" cy="589828"/>
          <wp:effectExtent l="0" t="0" r="2540" b="127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E74D2D" w:rsidP="0040431B">
    <w:pPr>
      <w:pStyle w:val="Antrats"/>
      <w:ind w:left="0"/>
    </w:pPr>
    <w:r>
      <w:rPr>
        <w:noProof/>
        <w:lang w:val="lt-LT" w:eastAsia="lt-LT"/>
      </w:rPr>
      <w:drawing>
        <wp:inline distT="0" distB="0" distL="0" distR="0" wp14:anchorId="1341C5BA" wp14:editId="5D4B3D72">
          <wp:extent cx="5731510" cy="589828"/>
          <wp:effectExtent l="0" t="0" r="254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Default="00E74D2D" w:rsidP="0040431B">
    <w:pPr>
      <w:pStyle w:val="Antrats"/>
      <w:ind w:left="0"/>
    </w:pPr>
    <w:r>
      <w:rPr>
        <w:noProof/>
        <w:lang w:val="lt-LT" w:eastAsia="lt-LT"/>
      </w:rPr>
      <w:drawing>
        <wp:inline distT="0" distB="0" distL="0" distR="0" wp14:anchorId="2A812631" wp14:editId="37A2EF3B">
          <wp:extent cx="5731510" cy="589828"/>
          <wp:effectExtent l="0" t="0" r="2540" b="127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p w:rsidR="00A72CF8" w:rsidRDefault="00A72CF8" w:rsidP="00A72CF8">
    <w:pPr>
      <w:spacing w:after="0"/>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00C08494" wp14:editId="74AAC295">
          <wp:extent cx="5731510" cy="589828"/>
          <wp:effectExtent l="0" t="0" r="2540" b="127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64" w:rsidRDefault="00941E64">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28" w:rsidRPr="00941E64" w:rsidRDefault="00E74D2D" w:rsidP="00692C53">
    <w:pPr>
      <w:pStyle w:val="Antrats"/>
      <w:ind w:left="0"/>
      <w:rPr>
        <w:szCs w:val="20"/>
      </w:rPr>
    </w:pPr>
    <w:r>
      <w:rPr>
        <w:noProof/>
        <w:lang w:val="lt-LT" w:eastAsia="lt-LT"/>
      </w:rPr>
      <w:drawing>
        <wp:inline distT="0" distB="0" distL="0" distR="0" wp14:anchorId="55F7BD66" wp14:editId="1C29CD65">
          <wp:extent cx="8651240" cy="588645"/>
          <wp:effectExtent l="0" t="0" r="0" b="1905"/>
          <wp:docPr id="12055677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6770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51240" cy="588645"/>
                  </a:xfrm>
                  <a:prstGeom prst="rect">
                    <a:avLst/>
                  </a:prstGeom>
                  <a:noFill/>
                  <a:ln>
                    <a:noFill/>
                  </a:ln>
                </pic:spPr>
              </pic:pic>
            </a:graphicData>
          </a:graphic>
        </wp:inline>
      </w:drawing>
    </w:r>
  </w:p>
  <w:p w:rsidR="00051C06" w:rsidRPr="00EE210D" w:rsidRDefault="00051C06" w:rsidP="00051C06">
    <w:pPr>
      <w:spacing w:after="0"/>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1B" w:rsidRDefault="00E74D2D" w:rsidP="0040431B">
    <w:pPr>
      <w:pStyle w:val="Antrats"/>
      <w:ind w:left="0"/>
    </w:pPr>
    <w:r>
      <w:rPr>
        <w:noProof/>
        <w:lang w:val="lt-LT" w:eastAsia="lt-LT"/>
      </w:rPr>
      <w:drawing>
        <wp:inline distT="0" distB="0" distL="0" distR="0" wp14:anchorId="0AB95F48" wp14:editId="0488FA7E">
          <wp:extent cx="5731510" cy="589828"/>
          <wp:effectExtent l="0" t="0" r="2540" b="1270"/>
          <wp:docPr id="648479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79145" name="EEA-and-Norway_grants_A4-standard vertica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898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6AC2B94">
      <w:start w:val="1"/>
      <w:numFmt w:val="bullet"/>
      <w:lvlText w:val=""/>
      <w:lvlJc w:val="left"/>
      <w:pPr>
        <w:ind w:left="720" w:hanging="360"/>
      </w:pPr>
      <w:rPr>
        <w:rFonts w:ascii="Symbol" w:hAnsi="Symbol"/>
      </w:rPr>
    </w:lvl>
    <w:lvl w:ilvl="1" w:tplc="39D2AC00">
      <w:start w:val="1"/>
      <w:numFmt w:val="bullet"/>
      <w:lvlText w:val="o"/>
      <w:lvlJc w:val="left"/>
      <w:pPr>
        <w:tabs>
          <w:tab w:val="num" w:pos="1440"/>
        </w:tabs>
        <w:ind w:left="1440" w:hanging="360"/>
      </w:pPr>
      <w:rPr>
        <w:rFonts w:ascii="Courier New" w:hAnsi="Courier New"/>
      </w:rPr>
    </w:lvl>
    <w:lvl w:ilvl="2" w:tplc="2B30226C">
      <w:start w:val="1"/>
      <w:numFmt w:val="bullet"/>
      <w:lvlText w:val=""/>
      <w:lvlJc w:val="left"/>
      <w:pPr>
        <w:tabs>
          <w:tab w:val="num" w:pos="2160"/>
        </w:tabs>
        <w:ind w:left="2160" w:hanging="360"/>
      </w:pPr>
      <w:rPr>
        <w:rFonts w:ascii="Wingdings" w:hAnsi="Wingdings"/>
      </w:rPr>
    </w:lvl>
    <w:lvl w:ilvl="3" w:tplc="FB7C84CE">
      <w:start w:val="1"/>
      <w:numFmt w:val="bullet"/>
      <w:lvlText w:val=""/>
      <w:lvlJc w:val="left"/>
      <w:pPr>
        <w:tabs>
          <w:tab w:val="num" w:pos="2880"/>
        </w:tabs>
        <w:ind w:left="2880" w:hanging="360"/>
      </w:pPr>
      <w:rPr>
        <w:rFonts w:ascii="Symbol" w:hAnsi="Symbol"/>
      </w:rPr>
    </w:lvl>
    <w:lvl w:ilvl="4" w:tplc="46C09A5E">
      <w:start w:val="1"/>
      <w:numFmt w:val="bullet"/>
      <w:lvlText w:val="o"/>
      <w:lvlJc w:val="left"/>
      <w:pPr>
        <w:tabs>
          <w:tab w:val="num" w:pos="3600"/>
        </w:tabs>
        <w:ind w:left="3600" w:hanging="360"/>
      </w:pPr>
      <w:rPr>
        <w:rFonts w:ascii="Courier New" w:hAnsi="Courier New"/>
      </w:rPr>
    </w:lvl>
    <w:lvl w:ilvl="5" w:tplc="86DC0FB2">
      <w:start w:val="1"/>
      <w:numFmt w:val="bullet"/>
      <w:lvlText w:val=""/>
      <w:lvlJc w:val="left"/>
      <w:pPr>
        <w:tabs>
          <w:tab w:val="num" w:pos="4320"/>
        </w:tabs>
        <w:ind w:left="4320" w:hanging="360"/>
      </w:pPr>
      <w:rPr>
        <w:rFonts w:ascii="Wingdings" w:hAnsi="Wingdings"/>
      </w:rPr>
    </w:lvl>
    <w:lvl w:ilvl="6" w:tplc="6CC67CF0">
      <w:start w:val="1"/>
      <w:numFmt w:val="bullet"/>
      <w:lvlText w:val=""/>
      <w:lvlJc w:val="left"/>
      <w:pPr>
        <w:tabs>
          <w:tab w:val="num" w:pos="5040"/>
        </w:tabs>
        <w:ind w:left="5040" w:hanging="360"/>
      </w:pPr>
      <w:rPr>
        <w:rFonts w:ascii="Symbol" w:hAnsi="Symbol"/>
      </w:rPr>
    </w:lvl>
    <w:lvl w:ilvl="7" w:tplc="A6581EF8">
      <w:start w:val="1"/>
      <w:numFmt w:val="bullet"/>
      <w:lvlText w:val="o"/>
      <w:lvlJc w:val="left"/>
      <w:pPr>
        <w:tabs>
          <w:tab w:val="num" w:pos="5760"/>
        </w:tabs>
        <w:ind w:left="5760" w:hanging="360"/>
      </w:pPr>
      <w:rPr>
        <w:rFonts w:ascii="Courier New" w:hAnsi="Courier New"/>
      </w:rPr>
    </w:lvl>
    <w:lvl w:ilvl="8" w:tplc="82C2C25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73364DA2">
      <w:start w:val="1"/>
      <w:numFmt w:val="bullet"/>
      <w:lvlText w:val=""/>
      <w:lvlJc w:val="left"/>
      <w:pPr>
        <w:ind w:left="720" w:hanging="360"/>
      </w:pPr>
      <w:rPr>
        <w:rFonts w:ascii="Symbol" w:hAnsi="Symbol"/>
      </w:rPr>
    </w:lvl>
    <w:lvl w:ilvl="1" w:tplc="B7BACAC4">
      <w:start w:val="1"/>
      <w:numFmt w:val="bullet"/>
      <w:lvlText w:val="o"/>
      <w:lvlJc w:val="left"/>
      <w:pPr>
        <w:tabs>
          <w:tab w:val="num" w:pos="1440"/>
        </w:tabs>
        <w:ind w:left="1440" w:hanging="360"/>
      </w:pPr>
      <w:rPr>
        <w:rFonts w:ascii="Courier New" w:hAnsi="Courier New"/>
      </w:rPr>
    </w:lvl>
    <w:lvl w:ilvl="2" w:tplc="5938485C">
      <w:start w:val="1"/>
      <w:numFmt w:val="bullet"/>
      <w:lvlText w:val=""/>
      <w:lvlJc w:val="left"/>
      <w:pPr>
        <w:tabs>
          <w:tab w:val="num" w:pos="2160"/>
        </w:tabs>
        <w:ind w:left="2160" w:hanging="360"/>
      </w:pPr>
      <w:rPr>
        <w:rFonts w:ascii="Wingdings" w:hAnsi="Wingdings"/>
      </w:rPr>
    </w:lvl>
    <w:lvl w:ilvl="3" w:tplc="54A8374A">
      <w:start w:val="1"/>
      <w:numFmt w:val="bullet"/>
      <w:lvlText w:val=""/>
      <w:lvlJc w:val="left"/>
      <w:pPr>
        <w:tabs>
          <w:tab w:val="num" w:pos="2880"/>
        </w:tabs>
        <w:ind w:left="2880" w:hanging="360"/>
      </w:pPr>
      <w:rPr>
        <w:rFonts w:ascii="Symbol" w:hAnsi="Symbol"/>
      </w:rPr>
    </w:lvl>
    <w:lvl w:ilvl="4" w:tplc="6394A9E4">
      <w:start w:val="1"/>
      <w:numFmt w:val="bullet"/>
      <w:lvlText w:val="o"/>
      <w:lvlJc w:val="left"/>
      <w:pPr>
        <w:tabs>
          <w:tab w:val="num" w:pos="3600"/>
        </w:tabs>
        <w:ind w:left="3600" w:hanging="360"/>
      </w:pPr>
      <w:rPr>
        <w:rFonts w:ascii="Courier New" w:hAnsi="Courier New"/>
      </w:rPr>
    </w:lvl>
    <w:lvl w:ilvl="5" w:tplc="123C0710">
      <w:start w:val="1"/>
      <w:numFmt w:val="bullet"/>
      <w:lvlText w:val=""/>
      <w:lvlJc w:val="left"/>
      <w:pPr>
        <w:tabs>
          <w:tab w:val="num" w:pos="4320"/>
        </w:tabs>
        <w:ind w:left="4320" w:hanging="360"/>
      </w:pPr>
      <w:rPr>
        <w:rFonts w:ascii="Wingdings" w:hAnsi="Wingdings"/>
      </w:rPr>
    </w:lvl>
    <w:lvl w:ilvl="6" w:tplc="3D9A9236">
      <w:start w:val="1"/>
      <w:numFmt w:val="bullet"/>
      <w:lvlText w:val=""/>
      <w:lvlJc w:val="left"/>
      <w:pPr>
        <w:tabs>
          <w:tab w:val="num" w:pos="5040"/>
        </w:tabs>
        <w:ind w:left="5040" w:hanging="360"/>
      </w:pPr>
      <w:rPr>
        <w:rFonts w:ascii="Symbol" w:hAnsi="Symbol"/>
      </w:rPr>
    </w:lvl>
    <w:lvl w:ilvl="7" w:tplc="CA8262C0">
      <w:start w:val="1"/>
      <w:numFmt w:val="bullet"/>
      <w:lvlText w:val="o"/>
      <w:lvlJc w:val="left"/>
      <w:pPr>
        <w:tabs>
          <w:tab w:val="num" w:pos="5760"/>
        </w:tabs>
        <w:ind w:left="5760" w:hanging="360"/>
      </w:pPr>
      <w:rPr>
        <w:rFonts w:ascii="Courier New" w:hAnsi="Courier New"/>
      </w:rPr>
    </w:lvl>
    <w:lvl w:ilvl="8" w:tplc="B4B0562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8ECEE9E0">
      <w:start w:val="1"/>
      <w:numFmt w:val="bullet"/>
      <w:lvlText w:val=""/>
      <w:lvlJc w:val="left"/>
      <w:pPr>
        <w:ind w:left="720" w:hanging="360"/>
      </w:pPr>
      <w:rPr>
        <w:rFonts w:ascii="Symbol" w:hAnsi="Symbol"/>
      </w:rPr>
    </w:lvl>
    <w:lvl w:ilvl="1" w:tplc="F77AC8B2">
      <w:start w:val="1"/>
      <w:numFmt w:val="bullet"/>
      <w:lvlText w:val="o"/>
      <w:lvlJc w:val="left"/>
      <w:pPr>
        <w:tabs>
          <w:tab w:val="num" w:pos="1440"/>
        </w:tabs>
        <w:ind w:left="1440" w:hanging="360"/>
      </w:pPr>
      <w:rPr>
        <w:rFonts w:ascii="Courier New" w:hAnsi="Courier New"/>
      </w:rPr>
    </w:lvl>
    <w:lvl w:ilvl="2" w:tplc="DFAA0D04">
      <w:start w:val="1"/>
      <w:numFmt w:val="bullet"/>
      <w:lvlText w:val=""/>
      <w:lvlJc w:val="left"/>
      <w:pPr>
        <w:tabs>
          <w:tab w:val="num" w:pos="2160"/>
        </w:tabs>
        <w:ind w:left="2160" w:hanging="360"/>
      </w:pPr>
      <w:rPr>
        <w:rFonts w:ascii="Wingdings" w:hAnsi="Wingdings"/>
      </w:rPr>
    </w:lvl>
    <w:lvl w:ilvl="3" w:tplc="9768ED54">
      <w:start w:val="1"/>
      <w:numFmt w:val="bullet"/>
      <w:lvlText w:val=""/>
      <w:lvlJc w:val="left"/>
      <w:pPr>
        <w:tabs>
          <w:tab w:val="num" w:pos="2880"/>
        </w:tabs>
        <w:ind w:left="2880" w:hanging="360"/>
      </w:pPr>
      <w:rPr>
        <w:rFonts w:ascii="Symbol" w:hAnsi="Symbol"/>
      </w:rPr>
    </w:lvl>
    <w:lvl w:ilvl="4" w:tplc="51DCE7F8">
      <w:start w:val="1"/>
      <w:numFmt w:val="bullet"/>
      <w:lvlText w:val="o"/>
      <w:lvlJc w:val="left"/>
      <w:pPr>
        <w:tabs>
          <w:tab w:val="num" w:pos="3600"/>
        </w:tabs>
        <w:ind w:left="3600" w:hanging="360"/>
      </w:pPr>
      <w:rPr>
        <w:rFonts w:ascii="Courier New" w:hAnsi="Courier New"/>
      </w:rPr>
    </w:lvl>
    <w:lvl w:ilvl="5" w:tplc="BBBCC4B8">
      <w:start w:val="1"/>
      <w:numFmt w:val="bullet"/>
      <w:lvlText w:val=""/>
      <w:lvlJc w:val="left"/>
      <w:pPr>
        <w:tabs>
          <w:tab w:val="num" w:pos="4320"/>
        </w:tabs>
        <w:ind w:left="4320" w:hanging="360"/>
      </w:pPr>
      <w:rPr>
        <w:rFonts w:ascii="Wingdings" w:hAnsi="Wingdings"/>
      </w:rPr>
    </w:lvl>
    <w:lvl w:ilvl="6" w:tplc="6ABAF5BE">
      <w:start w:val="1"/>
      <w:numFmt w:val="bullet"/>
      <w:lvlText w:val=""/>
      <w:lvlJc w:val="left"/>
      <w:pPr>
        <w:tabs>
          <w:tab w:val="num" w:pos="5040"/>
        </w:tabs>
        <w:ind w:left="5040" w:hanging="360"/>
      </w:pPr>
      <w:rPr>
        <w:rFonts w:ascii="Symbol" w:hAnsi="Symbol"/>
      </w:rPr>
    </w:lvl>
    <w:lvl w:ilvl="7" w:tplc="449A3C6E">
      <w:start w:val="1"/>
      <w:numFmt w:val="bullet"/>
      <w:lvlText w:val="o"/>
      <w:lvlJc w:val="left"/>
      <w:pPr>
        <w:tabs>
          <w:tab w:val="num" w:pos="5760"/>
        </w:tabs>
        <w:ind w:left="5760" w:hanging="360"/>
      </w:pPr>
      <w:rPr>
        <w:rFonts w:ascii="Courier New" w:hAnsi="Courier New"/>
      </w:rPr>
    </w:lvl>
    <w:lvl w:ilvl="8" w:tplc="A7C021C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A06E4E00">
      <w:start w:val="1"/>
      <w:numFmt w:val="bullet"/>
      <w:lvlText w:val=""/>
      <w:lvlJc w:val="left"/>
      <w:pPr>
        <w:ind w:left="720" w:hanging="360"/>
      </w:pPr>
      <w:rPr>
        <w:rFonts w:ascii="Symbol" w:hAnsi="Symbol"/>
      </w:rPr>
    </w:lvl>
    <w:lvl w:ilvl="1" w:tplc="C13242B4">
      <w:start w:val="1"/>
      <w:numFmt w:val="bullet"/>
      <w:lvlText w:val="o"/>
      <w:lvlJc w:val="left"/>
      <w:pPr>
        <w:tabs>
          <w:tab w:val="num" w:pos="1440"/>
        </w:tabs>
        <w:ind w:left="1440" w:hanging="360"/>
      </w:pPr>
      <w:rPr>
        <w:rFonts w:ascii="Courier New" w:hAnsi="Courier New"/>
      </w:rPr>
    </w:lvl>
    <w:lvl w:ilvl="2" w:tplc="7BB68FD0">
      <w:start w:val="1"/>
      <w:numFmt w:val="bullet"/>
      <w:lvlText w:val=""/>
      <w:lvlJc w:val="left"/>
      <w:pPr>
        <w:tabs>
          <w:tab w:val="num" w:pos="2160"/>
        </w:tabs>
        <w:ind w:left="2160" w:hanging="360"/>
      </w:pPr>
      <w:rPr>
        <w:rFonts w:ascii="Wingdings" w:hAnsi="Wingdings"/>
      </w:rPr>
    </w:lvl>
    <w:lvl w:ilvl="3" w:tplc="82B4D5C4">
      <w:start w:val="1"/>
      <w:numFmt w:val="bullet"/>
      <w:lvlText w:val=""/>
      <w:lvlJc w:val="left"/>
      <w:pPr>
        <w:tabs>
          <w:tab w:val="num" w:pos="2880"/>
        </w:tabs>
        <w:ind w:left="2880" w:hanging="360"/>
      </w:pPr>
      <w:rPr>
        <w:rFonts w:ascii="Symbol" w:hAnsi="Symbol"/>
      </w:rPr>
    </w:lvl>
    <w:lvl w:ilvl="4" w:tplc="571AD2A4">
      <w:start w:val="1"/>
      <w:numFmt w:val="bullet"/>
      <w:lvlText w:val="o"/>
      <w:lvlJc w:val="left"/>
      <w:pPr>
        <w:tabs>
          <w:tab w:val="num" w:pos="3600"/>
        </w:tabs>
        <w:ind w:left="3600" w:hanging="360"/>
      </w:pPr>
      <w:rPr>
        <w:rFonts w:ascii="Courier New" w:hAnsi="Courier New"/>
      </w:rPr>
    </w:lvl>
    <w:lvl w:ilvl="5" w:tplc="62445A3E">
      <w:start w:val="1"/>
      <w:numFmt w:val="bullet"/>
      <w:lvlText w:val=""/>
      <w:lvlJc w:val="left"/>
      <w:pPr>
        <w:tabs>
          <w:tab w:val="num" w:pos="4320"/>
        </w:tabs>
        <w:ind w:left="4320" w:hanging="360"/>
      </w:pPr>
      <w:rPr>
        <w:rFonts w:ascii="Wingdings" w:hAnsi="Wingdings"/>
      </w:rPr>
    </w:lvl>
    <w:lvl w:ilvl="6" w:tplc="544E89F2">
      <w:start w:val="1"/>
      <w:numFmt w:val="bullet"/>
      <w:lvlText w:val=""/>
      <w:lvlJc w:val="left"/>
      <w:pPr>
        <w:tabs>
          <w:tab w:val="num" w:pos="5040"/>
        </w:tabs>
        <w:ind w:left="5040" w:hanging="360"/>
      </w:pPr>
      <w:rPr>
        <w:rFonts w:ascii="Symbol" w:hAnsi="Symbol"/>
      </w:rPr>
    </w:lvl>
    <w:lvl w:ilvl="7" w:tplc="B3184DAE">
      <w:start w:val="1"/>
      <w:numFmt w:val="bullet"/>
      <w:lvlText w:val="o"/>
      <w:lvlJc w:val="left"/>
      <w:pPr>
        <w:tabs>
          <w:tab w:val="num" w:pos="5760"/>
        </w:tabs>
        <w:ind w:left="5760" w:hanging="360"/>
      </w:pPr>
      <w:rPr>
        <w:rFonts w:ascii="Courier New" w:hAnsi="Courier New"/>
      </w:rPr>
    </w:lvl>
    <w:lvl w:ilvl="8" w:tplc="9E9A283A">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9F3AF9CC">
      <w:start w:val="1"/>
      <w:numFmt w:val="bullet"/>
      <w:lvlText w:val=""/>
      <w:lvlJc w:val="left"/>
      <w:pPr>
        <w:ind w:left="720" w:hanging="360"/>
      </w:pPr>
      <w:rPr>
        <w:rFonts w:ascii="Symbol" w:hAnsi="Symbol"/>
      </w:rPr>
    </w:lvl>
    <w:lvl w:ilvl="1" w:tplc="9E3830DC">
      <w:start w:val="1"/>
      <w:numFmt w:val="bullet"/>
      <w:lvlText w:val="o"/>
      <w:lvlJc w:val="left"/>
      <w:pPr>
        <w:tabs>
          <w:tab w:val="num" w:pos="1440"/>
        </w:tabs>
        <w:ind w:left="1440" w:hanging="360"/>
      </w:pPr>
      <w:rPr>
        <w:rFonts w:ascii="Courier New" w:hAnsi="Courier New"/>
      </w:rPr>
    </w:lvl>
    <w:lvl w:ilvl="2" w:tplc="DE7857D0">
      <w:start w:val="1"/>
      <w:numFmt w:val="bullet"/>
      <w:lvlText w:val=""/>
      <w:lvlJc w:val="left"/>
      <w:pPr>
        <w:tabs>
          <w:tab w:val="num" w:pos="2160"/>
        </w:tabs>
        <w:ind w:left="2160" w:hanging="360"/>
      </w:pPr>
      <w:rPr>
        <w:rFonts w:ascii="Wingdings" w:hAnsi="Wingdings"/>
      </w:rPr>
    </w:lvl>
    <w:lvl w:ilvl="3" w:tplc="529EC6FE">
      <w:start w:val="1"/>
      <w:numFmt w:val="bullet"/>
      <w:lvlText w:val=""/>
      <w:lvlJc w:val="left"/>
      <w:pPr>
        <w:tabs>
          <w:tab w:val="num" w:pos="2880"/>
        </w:tabs>
        <w:ind w:left="2880" w:hanging="360"/>
      </w:pPr>
      <w:rPr>
        <w:rFonts w:ascii="Symbol" w:hAnsi="Symbol"/>
      </w:rPr>
    </w:lvl>
    <w:lvl w:ilvl="4" w:tplc="9EEC2D1A">
      <w:start w:val="1"/>
      <w:numFmt w:val="bullet"/>
      <w:lvlText w:val="o"/>
      <w:lvlJc w:val="left"/>
      <w:pPr>
        <w:tabs>
          <w:tab w:val="num" w:pos="3600"/>
        </w:tabs>
        <w:ind w:left="3600" w:hanging="360"/>
      </w:pPr>
      <w:rPr>
        <w:rFonts w:ascii="Courier New" w:hAnsi="Courier New"/>
      </w:rPr>
    </w:lvl>
    <w:lvl w:ilvl="5" w:tplc="B4A245D2">
      <w:start w:val="1"/>
      <w:numFmt w:val="bullet"/>
      <w:lvlText w:val=""/>
      <w:lvlJc w:val="left"/>
      <w:pPr>
        <w:tabs>
          <w:tab w:val="num" w:pos="4320"/>
        </w:tabs>
        <w:ind w:left="4320" w:hanging="360"/>
      </w:pPr>
      <w:rPr>
        <w:rFonts w:ascii="Wingdings" w:hAnsi="Wingdings"/>
      </w:rPr>
    </w:lvl>
    <w:lvl w:ilvl="6" w:tplc="1F9AD99A">
      <w:start w:val="1"/>
      <w:numFmt w:val="bullet"/>
      <w:lvlText w:val=""/>
      <w:lvlJc w:val="left"/>
      <w:pPr>
        <w:tabs>
          <w:tab w:val="num" w:pos="5040"/>
        </w:tabs>
        <w:ind w:left="5040" w:hanging="360"/>
      </w:pPr>
      <w:rPr>
        <w:rFonts w:ascii="Symbol" w:hAnsi="Symbol"/>
      </w:rPr>
    </w:lvl>
    <w:lvl w:ilvl="7" w:tplc="7F94D682">
      <w:start w:val="1"/>
      <w:numFmt w:val="bullet"/>
      <w:lvlText w:val="o"/>
      <w:lvlJc w:val="left"/>
      <w:pPr>
        <w:tabs>
          <w:tab w:val="num" w:pos="5760"/>
        </w:tabs>
        <w:ind w:left="5760" w:hanging="360"/>
      </w:pPr>
      <w:rPr>
        <w:rFonts w:ascii="Courier New" w:hAnsi="Courier New"/>
      </w:rPr>
    </w:lvl>
    <w:lvl w:ilvl="8" w:tplc="C958BAFA">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6316BA2C">
      <w:start w:val="1"/>
      <w:numFmt w:val="bullet"/>
      <w:lvlText w:val=""/>
      <w:lvlJc w:val="left"/>
      <w:pPr>
        <w:ind w:left="720" w:hanging="360"/>
      </w:pPr>
      <w:rPr>
        <w:rFonts w:ascii="Symbol" w:hAnsi="Symbol"/>
      </w:rPr>
    </w:lvl>
    <w:lvl w:ilvl="1" w:tplc="B614D0FA">
      <w:start w:val="1"/>
      <w:numFmt w:val="bullet"/>
      <w:lvlText w:val="o"/>
      <w:lvlJc w:val="left"/>
      <w:pPr>
        <w:tabs>
          <w:tab w:val="num" w:pos="1440"/>
        </w:tabs>
        <w:ind w:left="1440" w:hanging="360"/>
      </w:pPr>
      <w:rPr>
        <w:rFonts w:ascii="Courier New" w:hAnsi="Courier New"/>
      </w:rPr>
    </w:lvl>
    <w:lvl w:ilvl="2" w:tplc="809086E6">
      <w:start w:val="1"/>
      <w:numFmt w:val="bullet"/>
      <w:lvlText w:val=""/>
      <w:lvlJc w:val="left"/>
      <w:pPr>
        <w:tabs>
          <w:tab w:val="num" w:pos="2160"/>
        </w:tabs>
        <w:ind w:left="2160" w:hanging="360"/>
      </w:pPr>
      <w:rPr>
        <w:rFonts w:ascii="Wingdings" w:hAnsi="Wingdings"/>
      </w:rPr>
    </w:lvl>
    <w:lvl w:ilvl="3" w:tplc="CBA2AA46">
      <w:start w:val="1"/>
      <w:numFmt w:val="bullet"/>
      <w:lvlText w:val=""/>
      <w:lvlJc w:val="left"/>
      <w:pPr>
        <w:tabs>
          <w:tab w:val="num" w:pos="2880"/>
        </w:tabs>
        <w:ind w:left="2880" w:hanging="360"/>
      </w:pPr>
      <w:rPr>
        <w:rFonts w:ascii="Symbol" w:hAnsi="Symbol"/>
      </w:rPr>
    </w:lvl>
    <w:lvl w:ilvl="4" w:tplc="C73E517A">
      <w:start w:val="1"/>
      <w:numFmt w:val="bullet"/>
      <w:lvlText w:val="o"/>
      <w:lvlJc w:val="left"/>
      <w:pPr>
        <w:tabs>
          <w:tab w:val="num" w:pos="3600"/>
        </w:tabs>
        <w:ind w:left="3600" w:hanging="360"/>
      </w:pPr>
      <w:rPr>
        <w:rFonts w:ascii="Courier New" w:hAnsi="Courier New"/>
      </w:rPr>
    </w:lvl>
    <w:lvl w:ilvl="5" w:tplc="282A1DF8">
      <w:start w:val="1"/>
      <w:numFmt w:val="bullet"/>
      <w:lvlText w:val=""/>
      <w:lvlJc w:val="left"/>
      <w:pPr>
        <w:tabs>
          <w:tab w:val="num" w:pos="4320"/>
        </w:tabs>
        <w:ind w:left="4320" w:hanging="360"/>
      </w:pPr>
      <w:rPr>
        <w:rFonts w:ascii="Wingdings" w:hAnsi="Wingdings"/>
      </w:rPr>
    </w:lvl>
    <w:lvl w:ilvl="6" w:tplc="1BE0C072">
      <w:start w:val="1"/>
      <w:numFmt w:val="bullet"/>
      <w:lvlText w:val=""/>
      <w:lvlJc w:val="left"/>
      <w:pPr>
        <w:tabs>
          <w:tab w:val="num" w:pos="5040"/>
        </w:tabs>
        <w:ind w:left="5040" w:hanging="360"/>
      </w:pPr>
      <w:rPr>
        <w:rFonts w:ascii="Symbol" w:hAnsi="Symbol"/>
      </w:rPr>
    </w:lvl>
    <w:lvl w:ilvl="7" w:tplc="5928C87E">
      <w:start w:val="1"/>
      <w:numFmt w:val="bullet"/>
      <w:lvlText w:val="o"/>
      <w:lvlJc w:val="left"/>
      <w:pPr>
        <w:tabs>
          <w:tab w:val="num" w:pos="5760"/>
        </w:tabs>
        <w:ind w:left="5760" w:hanging="360"/>
      </w:pPr>
      <w:rPr>
        <w:rFonts w:ascii="Courier New" w:hAnsi="Courier New"/>
      </w:rPr>
    </w:lvl>
    <w:lvl w:ilvl="8" w:tplc="0390066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2E32A0FE">
      <w:start w:val="1"/>
      <w:numFmt w:val="bullet"/>
      <w:lvlText w:val=""/>
      <w:lvlJc w:val="left"/>
      <w:pPr>
        <w:ind w:left="720" w:hanging="360"/>
      </w:pPr>
      <w:rPr>
        <w:rFonts w:ascii="Symbol" w:hAnsi="Symbol"/>
      </w:rPr>
    </w:lvl>
    <w:lvl w:ilvl="1" w:tplc="D1D47384">
      <w:start w:val="1"/>
      <w:numFmt w:val="bullet"/>
      <w:lvlText w:val="o"/>
      <w:lvlJc w:val="left"/>
      <w:pPr>
        <w:tabs>
          <w:tab w:val="num" w:pos="1440"/>
        </w:tabs>
        <w:ind w:left="1440" w:hanging="360"/>
      </w:pPr>
      <w:rPr>
        <w:rFonts w:ascii="Courier New" w:hAnsi="Courier New"/>
      </w:rPr>
    </w:lvl>
    <w:lvl w:ilvl="2" w:tplc="19E84A6C">
      <w:start w:val="1"/>
      <w:numFmt w:val="bullet"/>
      <w:lvlText w:val=""/>
      <w:lvlJc w:val="left"/>
      <w:pPr>
        <w:tabs>
          <w:tab w:val="num" w:pos="2160"/>
        </w:tabs>
        <w:ind w:left="2160" w:hanging="360"/>
      </w:pPr>
      <w:rPr>
        <w:rFonts w:ascii="Wingdings" w:hAnsi="Wingdings"/>
      </w:rPr>
    </w:lvl>
    <w:lvl w:ilvl="3" w:tplc="8A6CFAF2">
      <w:start w:val="1"/>
      <w:numFmt w:val="bullet"/>
      <w:lvlText w:val=""/>
      <w:lvlJc w:val="left"/>
      <w:pPr>
        <w:tabs>
          <w:tab w:val="num" w:pos="2880"/>
        </w:tabs>
        <w:ind w:left="2880" w:hanging="360"/>
      </w:pPr>
      <w:rPr>
        <w:rFonts w:ascii="Symbol" w:hAnsi="Symbol"/>
      </w:rPr>
    </w:lvl>
    <w:lvl w:ilvl="4" w:tplc="AD148CFE">
      <w:start w:val="1"/>
      <w:numFmt w:val="bullet"/>
      <w:lvlText w:val="o"/>
      <w:lvlJc w:val="left"/>
      <w:pPr>
        <w:tabs>
          <w:tab w:val="num" w:pos="3600"/>
        </w:tabs>
        <w:ind w:left="3600" w:hanging="360"/>
      </w:pPr>
      <w:rPr>
        <w:rFonts w:ascii="Courier New" w:hAnsi="Courier New"/>
      </w:rPr>
    </w:lvl>
    <w:lvl w:ilvl="5" w:tplc="789C679C">
      <w:start w:val="1"/>
      <w:numFmt w:val="bullet"/>
      <w:lvlText w:val=""/>
      <w:lvlJc w:val="left"/>
      <w:pPr>
        <w:tabs>
          <w:tab w:val="num" w:pos="4320"/>
        </w:tabs>
        <w:ind w:left="4320" w:hanging="360"/>
      </w:pPr>
      <w:rPr>
        <w:rFonts w:ascii="Wingdings" w:hAnsi="Wingdings"/>
      </w:rPr>
    </w:lvl>
    <w:lvl w:ilvl="6" w:tplc="22384276">
      <w:start w:val="1"/>
      <w:numFmt w:val="bullet"/>
      <w:lvlText w:val=""/>
      <w:lvlJc w:val="left"/>
      <w:pPr>
        <w:tabs>
          <w:tab w:val="num" w:pos="5040"/>
        </w:tabs>
        <w:ind w:left="5040" w:hanging="360"/>
      </w:pPr>
      <w:rPr>
        <w:rFonts w:ascii="Symbol" w:hAnsi="Symbol"/>
      </w:rPr>
    </w:lvl>
    <w:lvl w:ilvl="7" w:tplc="390E1AFA">
      <w:start w:val="1"/>
      <w:numFmt w:val="bullet"/>
      <w:lvlText w:val="o"/>
      <w:lvlJc w:val="left"/>
      <w:pPr>
        <w:tabs>
          <w:tab w:val="num" w:pos="5760"/>
        </w:tabs>
        <w:ind w:left="5760" w:hanging="360"/>
      </w:pPr>
      <w:rPr>
        <w:rFonts w:ascii="Courier New" w:hAnsi="Courier New"/>
      </w:rPr>
    </w:lvl>
    <w:lvl w:ilvl="8" w:tplc="5A3C234A">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EDB007AC">
      <w:start w:val="1"/>
      <w:numFmt w:val="bullet"/>
      <w:lvlText w:val=""/>
      <w:lvlJc w:val="left"/>
      <w:pPr>
        <w:ind w:left="720" w:hanging="360"/>
      </w:pPr>
      <w:rPr>
        <w:rFonts w:ascii="Symbol" w:hAnsi="Symbol"/>
      </w:rPr>
    </w:lvl>
    <w:lvl w:ilvl="1" w:tplc="AD9230B8">
      <w:start w:val="1"/>
      <w:numFmt w:val="bullet"/>
      <w:lvlText w:val="o"/>
      <w:lvlJc w:val="left"/>
      <w:pPr>
        <w:tabs>
          <w:tab w:val="num" w:pos="1440"/>
        </w:tabs>
        <w:ind w:left="1440" w:hanging="360"/>
      </w:pPr>
      <w:rPr>
        <w:rFonts w:ascii="Courier New" w:hAnsi="Courier New"/>
      </w:rPr>
    </w:lvl>
    <w:lvl w:ilvl="2" w:tplc="55668814">
      <w:start w:val="1"/>
      <w:numFmt w:val="bullet"/>
      <w:lvlText w:val=""/>
      <w:lvlJc w:val="left"/>
      <w:pPr>
        <w:tabs>
          <w:tab w:val="num" w:pos="2160"/>
        </w:tabs>
        <w:ind w:left="2160" w:hanging="360"/>
      </w:pPr>
      <w:rPr>
        <w:rFonts w:ascii="Wingdings" w:hAnsi="Wingdings"/>
      </w:rPr>
    </w:lvl>
    <w:lvl w:ilvl="3" w:tplc="07FCBE70">
      <w:start w:val="1"/>
      <w:numFmt w:val="bullet"/>
      <w:lvlText w:val=""/>
      <w:lvlJc w:val="left"/>
      <w:pPr>
        <w:tabs>
          <w:tab w:val="num" w:pos="2880"/>
        </w:tabs>
        <w:ind w:left="2880" w:hanging="360"/>
      </w:pPr>
      <w:rPr>
        <w:rFonts w:ascii="Symbol" w:hAnsi="Symbol"/>
      </w:rPr>
    </w:lvl>
    <w:lvl w:ilvl="4" w:tplc="5D608CC2">
      <w:start w:val="1"/>
      <w:numFmt w:val="bullet"/>
      <w:lvlText w:val="o"/>
      <w:lvlJc w:val="left"/>
      <w:pPr>
        <w:tabs>
          <w:tab w:val="num" w:pos="3600"/>
        </w:tabs>
        <w:ind w:left="3600" w:hanging="360"/>
      </w:pPr>
      <w:rPr>
        <w:rFonts w:ascii="Courier New" w:hAnsi="Courier New"/>
      </w:rPr>
    </w:lvl>
    <w:lvl w:ilvl="5" w:tplc="64FC7322">
      <w:start w:val="1"/>
      <w:numFmt w:val="bullet"/>
      <w:lvlText w:val=""/>
      <w:lvlJc w:val="left"/>
      <w:pPr>
        <w:tabs>
          <w:tab w:val="num" w:pos="4320"/>
        </w:tabs>
        <w:ind w:left="4320" w:hanging="360"/>
      </w:pPr>
      <w:rPr>
        <w:rFonts w:ascii="Wingdings" w:hAnsi="Wingdings"/>
      </w:rPr>
    </w:lvl>
    <w:lvl w:ilvl="6" w:tplc="48682EA6">
      <w:start w:val="1"/>
      <w:numFmt w:val="bullet"/>
      <w:lvlText w:val=""/>
      <w:lvlJc w:val="left"/>
      <w:pPr>
        <w:tabs>
          <w:tab w:val="num" w:pos="5040"/>
        </w:tabs>
        <w:ind w:left="5040" w:hanging="360"/>
      </w:pPr>
      <w:rPr>
        <w:rFonts w:ascii="Symbol" w:hAnsi="Symbol"/>
      </w:rPr>
    </w:lvl>
    <w:lvl w:ilvl="7" w:tplc="20C0A7A4">
      <w:start w:val="1"/>
      <w:numFmt w:val="bullet"/>
      <w:lvlText w:val="o"/>
      <w:lvlJc w:val="left"/>
      <w:pPr>
        <w:tabs>
          <w:tab w:val="num" w:pos="5760"/>
        </w:tabs>
        <w:ind w:left="5760" w:hanging="360"/>
      </w:pPr>
      <w:rPr>
        <w:rFonts w:ascii="Courier New" w:hAnsi="Courier New"/>
      </w:rPr>
    </w:lvl>
    <w:lvl w:ilvl="8" w:tplc="C18E0C5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7F20966E">
      <w:start w:val="1"/>
      <w:numFmt w:val="bullet"/>
      <w:lvlText w:val=""/>
      <w:lvlJc w:val="left"/>
      <w:pPr>
        <w:ind w:left="720" w:hanging="360"/>
      </w:pPr>
      <w:rPr>
        <w:rFonts w:ascii="Symbol" w:hAnsi="Symbol"/>
      </w:rPr>
    </w:lvl>
    <w:lvl w:ilvl="1" w:tplc="7E0E4C9E">
      <w:start w:val="1"/>
      <w:numFmt w:val="bullet"/>
      <w:lvlText w:val="o"/>
      <w:lvlJc w:val="left"/>
      <w:pPr>
        <w:tabs>
          <w:tab w:val="num" w:pos="1440"/>
        </w:tabs>
        <w:ind w:left="1440" w:hanging="360"/>
      </w:pPr>
      <w:rPr>
        <w:rFonts w:ascii="Courier New" w:hAnsi="Courier New"/>
      </w:rPr>
    </w:lvl>
    <w:lvl w:ilvl="2" w:tplc="9CA0175E">
      <w:start w:val="1"/>
      <w:numFmt w:val="bullet"/>
      <w:lvlText w:val=""/>
      <w:lvlJc w:val="left"/>
      <w:pPr>
        <w:tabs>
          <w:tab w:val="num" w:pos="2160"/>
        </w:tabs>
        <w:ind w:left="2160" w:hanging="360"/>
      </w:pPr>
      <w:rPr>
        <w:rFonts w:ascii="Wingdings" w:hAnsi="Wingdings"/>
      </w:rPr>
    </w:lvl>
    <w:lvl w:ilvl="3" w:tplc="B284FA82">
      <w:start w:val="1"/>
      <w:numFmt w:val="bullet"/>
      <w:lvlText w:val=""/>
      <w:lvlJc w:val="left"/>
      <w:pPr>
        <w:tabs>
          <w:tab w:val="num" w:pos="2880"/>
        </w:tabs>
        <w:ind w:left="2880" w:hanging="360"/>
      </w:pPr>
      <w:rPr>
        <w:rFonts w:ascii="Symbol" w:hAnsi="Symbol"/>
      </w:rPr>
    </w:lvl>
    <w:lvl w:ilvl="4" w:tplc="CFDEF96C">
      <w:start w:val="1"/>
      <w:numFmt w:val="bullet"/>
      <w:lvlText w:val="o"/>
      <w:lvlJc w:val="left"/>
      <w:pPr>
        <w:tabs>
          <w:tab w:val="num" w:pos="3600"/>
        </w:tabs>
        <w:ind w:left="3600" w:hanging="360"/>
      </w:pPr>
      <w:rPr>
        <w:rFonts w:ascii="Courier New" w:hAnsi="Courier New"/>
      </w:rPr>
    </w:lvl>
    <w:lvl w:ilvl="5" w:tplc="371ED90A">
      <w:start w:val="1"/>
      <w:numFmt w:val="bullet"/>
      <w:lvlText w:val=""/>
      <w:lvlJc w:val="left"/>
      <w:pPr>
        <w:tabs>
          <w:tab w:val="num" w:pos="4320"/>
        </w:tabs>
        <w:ind w:left="4320" w:hanging="360"/>
      </w:pPr>
      <w:rPr>
        <w:rFonts w:ascii="Wingdings" w:hAnsi="Wingdings"/>
      </w:rPr>
    </w:lvl>
    <w:lvl w:ilvl="6" w:tplc="F5BCB420">
      <w:start w:val="1"/>
      <w:numFmt w:val="bullet"/>
      <w:lvlText w:val=""/>
      <w:lvlJc w:val="left"/>
      <w:pPr>
        <w:tabs>
          <w:tab w:val="num" w:pos="5040"/>
        </w:tabs>
        <w:ind w:left="5040" w:hanging="360"/>
      </w:pPr>
      <w:rPr>
        <w:rFonts w:ascii="Symbol" w:hAnsi="Symbol"/>
      </w:rPr>
    </w:lvl>
    <w:lvl w:ilvl="7" w:tplc="E76A4F42">
      <w:start w:val="1"/>
      <w:numFmt w:val="bullet"/>
      <w:lvlText w:val="o"/>
      <w:lvlJc w:val="left"/>
      <w:pPr>
        <w:tabs>
          <w:tab w:val="num" w:pos="5760"/>
        </w:tabs>
        <w:ind w:left="5760" w:hanging="360"/>
      </w:pPr>
      <w:rPr>
        <w:rFonts w:ascii="Courier New" w:hAnsi="Courier New"/>
      </w:rPr>
    </w:lvl>
    <w:lvl w:ilvl="8" w:tplc="1144B1DC">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09A8BA84">
      <w:start w:val="1"/>
      <w:numFmt w:val="bullet"/>
      <w:lvlText w:val=""/>
      <w:lvlJc w:val="left"/>
      <w:pPr>
        <w:ind w:left="720" w:hanging="360"/>
      </w:pPr>
      <w:rPr>
        <w:rFonts w:ascii="Symbol" w:hAnsi="Symbol"/>
      </w:rPr>
    </w:lvl>
    <w:lvl w:ilvl="1" w:tplc="FDEE1636">
      <w:start w:val="1"/>
      <w:numFmt w:val="bullet"/>
      <w:lvlText w:val="o"/>
      <w:lvlJc w:val="left"/>
      <w:pPr>
        <w:tabs>
          <w:tab w:val="num" w:pos="1440"/>
        </w:tabs>
        <w:ind w:left="1440" w:hanging="360"/>
      </w:pPr>
      <w:rPr>
        <w:rFonts w:ascii="Courier New" w:hAnsi="Courier New"/>
      </w:rPr>
    </w:lvl>
    <w:lvl w:ilvl="2" w:tplc="848462D4">
      <w:start w:val="1"/>
      <w:numFmt w:val="bullet"/>
      <w:lvlText w:val=""/>
      <w:lvlJc w:val="left"/>
      <w:pPr>
        <w:tabs>
          <w:tab w:val="num" w:pos="2160"/>
        </w:tabs>
        <w:ind w:left="2160" w:hanging="360"/>
      </w:pPr>
      <w:rPr>
        <w:rFonts w:ascii="Wingdings" w:hAnsi="Wingdings"/>
      </w:rPr>
    </w:lvl>
    <w:lvl w:ilvl="3" w:tplc="E8BAD988">
      <w:start w:val="1"/>
      <w:numFmt w:val="bullet"/>
      <w:lvlText w:val=""/>
      <w:lvlJc w:val="left"/>
      <w:pPr>
        <w:tabs>
          <w:tab w:val="num" w:pos="2880"/>
        </w:tabs>
        <w:ind w:left="2880" w:hanging="360"/>
      </w:pPr>
      <w:rPr>
        <w:rFonts w:ascii="Symbol" w:hAnsi="Symbol"/>
      </w:rPr>
    </w:lvl>
    <w:lvl w:ilvl="4" w:tplc="B746981A">
      <w:start w:val="1"/>
      <w:numFmt w:val="bullet"/>
      <w:lvlText w:val="o"/>
      <w:lvlJc w:val="left"/>
      <w:pPr>
        <w:tabs>
          <w:tab w:val="num" w:pos="3600"/>
        </w:tabs>
        <w:ind w:left="3600" w:hanging="360"/>
      </w:pPr>
      <w:rPr>
        <w:rFonts w:ascii="Courier New" w:hAnsi="Courier New"/>
      </w:rPr>
    </w:lvl>
    <w:lvl w:ilvl="5" w:tplc="9D6CE740">
      <w:start w:val="1"/>
      <w:numFmt w:val="bullet"/>
      <w:lvlText w:val=""/>
      <w:lvlJc w:val="left"/>
      <w:pPr>
        <w:tabs>
          <w:tab w:val="num" w:pos="4320"/>
        </w:tabs>
        <w:ind w:left="4320" w:hanging="360"/>
      </w:pPr>
      <w:rPr>
        <w:rFonts w:ascii="Wingdings" w:hAnsi="Wingdings"/>
      </w:rPr>
    </w:lvl>
    <w:lvl w:ilvl="6" w:tplc="2BE428EA">
      <w:start w:val="1"/>
      <w:numFmt w:val="bullet"/>
      <w:lvlText w:val=""/>
      <w:lvlJc w:val="left"/>
      <w:pPr>
        <w:tabs>
          <w:tab w:val="num" w:pos="5040"/>
        </w:tabs>
        <w:ind w:left="5040" w:hanging="360"/>
      </w:pPr>
      <w:rPr>
        <w:rFonts w:ascii="Symbol" w:hAnsi="Symbol"/>
      </w:rPr>
    </w:lvl>
    <w:lvl w:ilvl="7" w:tplc="E7BEE5DC">
      <w:start w:val="1"/>
      <w:numFmt w:val="bullet"/>
      <w:lvlText w:val="o"/>
      <w:lvlJc w:val="left"/>
      <w:pPr>
        <w:tabs>
          <w:tab w:val="num" w:pos="5760"/>
        </w:tabs>
        <w:ind w:left="5760" w:hanging="360"/>
      </w:pPr>
      <w:rPr>
        <w:rFonts w:ascii="Courier New" w:hAnsi="Courier New"/>
      </w:rPr>
    </w:lvl>
    <w:lvl w:ilvl="8" w:tplc="A980342A">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64941DFE">
      <w:start w:val="1"/>
      <w:numFmt w:val="bullet"/>
      <w:lvlText w:val=""/>
      <w:lvlJc w:val="left"/>
      <w:pPr>
        <w:ind w:left="720" w:hanging="360"/>
      </w:pPr>
      <w:rPr>
        <w:rFonts w:ascii="Symbol" w:hAnsi="Symbol"/>
      </w:rPr>
    </w:lvl>
    <w:lvl w:ilvl="1" w:tplc="244826D4">
      <w:start w:val="1"/>
      <w:numFmt w:val="bullet"/>
      <w:lvlText w:val="o"/>
      <w:lvlJc w:val="left"/>
      <w:pPr>
        <w:tabs>
          <w:tab w:val="num" w:pos="1440"/>
        </w:tabs>
        <w:ind w:left="1440" w:hanging="360"/>
      </w:pPr>
      <w:rPr>
        <w:rFonts w:ascii="Courier New" w:hAnsi="Courier New"/>
      </w:rPr>
    </w:lvl>
    <w:lvl w:ilvl="2" w:tplc="EBDC0ADE">
      <w:start w:val="1"/>
      <w:numFmt w:val="bullet"/>
      <w:lvlText w:val=""/>
      <w:lvlJc w:val="left"/>
      <w:pPr>
        <w:tabs>
          <w:tab w:val="num" w:pos="2160"/>
        </w:tabs>
        <w:ind w:left="2160" w:hanging="360"/>
      </w:pPr>
      <w:rPr>
        <w:rFonts w:ascii="Wingdings" w:hAnsi="Wingdings"/>
      </w:rPr>
    </w:lvl>
    <w:lvl w:ilvl="3" w:tplc="3BE0762E">
      <w:start w:val="1"/>
      <w:numFmt w:val="bullet"/>
      <w:lvlText w:val=""/>
      <w:lvlJc w:val="left"/>
      <w:pPr>
        <w:tabs>
          <w:tab w:val="num" w:pos="2880"/>
        </w:tabs>
        <w:ind w:left="2880" w:hanging="360"/>
      </w:pPr>
      <w:rPr>
        <w:rFonts w:ascii="Symbol" w:hAnsi="Symbol"/>
      </w:rPr>
    </w:lvl>
    <w:lvl w:ilvl="4" w:tplc="241EDC02">
      <w:start w:val="1"/>
      <w:numFmt w:val="bullet"/>
      <w:lvlText w:val="o"/>
      <w:lvlJc w:val="left"/>
      <w:pPr>
        <w:tabs>
          <w:tab w:val="num" w:pos="3600"/>
        </w:tabs>
        <w:ind w:left="3600" w:hanging="360"/>
      </w:pPr>
      <w:rPr>
        <w:rFonts w:ascii="Courier New" w:hAnsi="Courier New"/>
      </w:rPr>
    </w:lvl>
    <w:lvl w:ilvl="5" w:tplc="E15E9474">
      <w:start w:val="1"/>
      <w:numFmt w:val="bullet"/>
      <w:lvlText w:val=""/>
      <w:lvlJc w:val="left"/>
      <w:pPr>
        <w:tabs>
          <w:tab w:val="num" w:pos="4320"/>
        </w:tabs>
        <w:ind w:left="4320" w:hanging="360"/>
      </w:pPr>
      <w:rPr>
        <w:rFonts w:ascii="Wingdings" w:hAnsi="Wingdings"/>
      </w:rPr>
    </w:lvl>
    <w:lvl w:ilvl="6" w:tplc="A2620C7A">
      <w:start w:val="1"/>
      <w:numFmt w:val="bullet"/>
      <w:lvlText w:val=""/>
      <w:lvlJc w:val="left"/>
      <w:pPr>
        <w:tabs>
          <w:tab w:val="num" w:pos="5040"/>
        </w:tabs>
        <w:ind w:left="5040" w:hanging="360"/>
      </w:pPr>
      <w:rPr>
        <w:rFonts w:ascii="Symbol" w:hAnsi="Symbol"/>
      </w:rPr>
    </w:lvl>
    <w:lvl w:ilvl="7" w:tplc="E5E8BB1A">
      <w:start w:val="1"/>
      <w:numFmt w:val="bullet"/>
      <w:lvlText w:val="o"/>
      <w:lvlJc w:val="left"/>
      <w:pPr>
        <w:tabs>
          <w:tab w:val="num" w:pos="5760"/>
        </w:tabs>
        <w:ind w:left="5760" w:hanging="360"/>
      </w:pPr>
      <w:rPr>
        <w:rFonts w:ascii="Courier New" w:hAnsi="Courier New"/>
      </w:rPr>
    </w:lvl>
    <w:lvl w:ilvl="8" w:tplc="640C9500">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1"/>
    <w:lvl w:ilvl="0" w:tplc="A4641AE8">
      <w:start w:val="1"/>
      <w:numFmt w:val="bullet"/>
      <w:lvlText w:val=""/>
      <w:lvlJc w:val="left"/>
      <w:pPr>
        <w:ind w:left="720" w:hanging="360"/>
      </w:pPr>
      <w:rPr>
        <w:rFonts w:ascii="Symbol" w:hAnsi="Symbol"/>
      </w:rPr>
    </w:lvl>
    <w:lvl w:ilvl="1" w:tplc="B728189C">
      <w:start w:val="1"/>
      <w:numFmt w:val="bullet"/>
      <w:lvlText w:val="o"/>
      <w:lvlJc w:val="left"/>
      <w:pPr>
        <w:tabs>
          <w:tab w:val="num" w:pos="1440"/>
        </w:tabs>
        <w:ind w:left="1440" w:hanging="360"/>
      </w:pPr>
      <w:rPr>
        <w:rFonts w:ascii="Courier New" w:hAnsi="Courier New"/>
      </w:rPr>
    </w:lvl>
    <w:lvl w:ilvl="2" w:tplc="75246330">
      <w:start w:val="1"/>
      <w:numFmt w:val="bullet"/>
      <w:lvlText w:val=""/>
      <w:lvlJc w:val="left"/>
      <w:pPr>
        <w:tabs>
          <w:tab w:val="num" w:pos="2160"/>
        </w:tabs>
        <w:ind w:left="2160" w:hanging="360"/>
      </w:pPr>
      <w:rPr>
        <w:rFonts w:ascii="Wingdings" w:hAnsi="Wingdings"/>
      </w:rPr>
    </w:lvl>
    <w:lvl w:ilvl="3" w:tplc="B6F2F25A">
      <w:start w:val="1"/>
      <w:numFmt w:val="bullet"/>
      <w:lvlText w:val=""/>
      <w:lvlJc w:val="left"/>
      <w:pPr>
        <w:tabs>
          <w:tab w:val="num" w:pos="2880"/>
        </w:tabs>
        <w:ind w:left="2880" w:hanging="360"/>
      </w:pPr>
      <w:rPr>
        <w:rFonts w:ascii="Symbol" w:hAnsi="Symbol"/>
      </w:rPr>
    </w:lvl>
    <w:lvl w:ilvl="4" w:tplc="0D64003C">
      <w:start w:val="1"/>
      <w:numFmt w:val="bullet"/>
      <w:lvlText w:val="o"/>
      <w:lvlJc w:val="left"/>
      <w:pPr>
        <w:tabs>
          <w:tab w:val="num" w:pos="3600"/>
        </w:tabs>
        <w:ind w:left="3600" w:hanging="360"/>
      </w:pPr>
      <w:rPr>
        <w:rFonts w:ascii="Courier New" w:hAnsi="Courier New"/>
      </w:rPr>
    </w:lvl>
    <w:lvl w:ilvl="5" w:tplc="3B9E8192">
      <w:start w:val="1"/>
      <w:numFmt w:val="bullet"/>
      <w:lvlText w:val=""/>
      <w:lvlJc w:val="left"/>
      <w:pPr>
        <w:tabs>
          <w:tab w:val="num" w:pos="4320"/>
        </w:tabs>
        <w:ind w:left="4320" w:hanging="360"/>
      </w:pPr>
      <w:rPr>
        <w:rFonts w:ascii="Wingdings" w:hAnsi="Wingdings"/>
      </w:rPr>
    </w:lvl>
    <w:lvl w:ilvl="6" w:tplc="5F34A1D2">
      <w:start w:val="1"/>
      <w:numFmt w:val="bullet"/>
      <w:lvlText w:val=""/>
      <w:lvlJc w:val="left"/>
      <w:pPr>
        <w:tabs>
          <w:tab w:val="num" w:pos="5040"/>
        </w:tabs>
        <w:ind w:left="5040" w:hanging="360"/>
      </w:pPr>
      <w:rPr>
        <w:rFonts w:ascii="Symbol" w:hAnsi="Symbol"/>
      </w:rPr>
    </w:lvl>
    <w:lvl w:ilvl="7" w:tplc="6700C174">
      <w:start w:val="1"/>
      <w:numFmt w:val="bullet"/>
      <w:lvlText w:val="o"/>
      <w:lvlJc w:val="left"/>
      <w:pPr>
        <w:tabs>
          <w:tab w:val="num" w:pos="5760"/>
        </w:tabs>
        <w:ind w:left="5760" w:hanging="360"/>
      </w:pPr>
      <w:rPr>
        <w:rFonts w:ascii="Courier New" w:hAnsi="Courier New"/>
      </w:rPr>
    </w:lvl>
    <w:lvl w:ilvl="8" w:tplc="0EAC5FA4">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1"/>
    <w:lvl w:ilvl="0" w:tplc="C71CF7E6">
      <w:start w:val="1"/>
      <w:numFmt w:val="bullet"/>
      <w:lvlText w:val=""/>
      <w:lvlJc w:val="left"/>
      <w:pPr>
        <w:ind w:left="720" w:hanging="360"/>
      </w:pPr>
      <w:rPr>
        <w:rFonts w:ascii="Symbol" w:hAnsi="Symbol"/>
      </w:rPr>
    </w:lvl>
    <w:lvl w:ilvl="1" w:tplc="D86C26A8">
      <w:start w:val="1"/>
      <w:numFmt w:val="bullet"/>
      <w:lvlText w:val="o"/>
      <w:lvlJc w:val="left"/>
      <w:pPr>
        <w:tabs>
          <w:tab w:val="num" w:pos="1440"/>
        </w:tabs>
        <w:ind w:left="1440" w:hanging="360"/>
      </w:pPr>
      <w:rPr>
        <w:rFonts w:ascii="Courier New" w:hAnsi="Courier New"/>
      </w:rPr>
    </w:lvl>
    <w:lvl w:ilvl="2" w:tplc="577EEF06">
      <w:start w:val="1"/>
      <w:numFmt w:val="bullet"/>
      <w:lvlText w:val=""/>
      <w:lvlJc w:val="left"/>
      <w:pPr>
        <w:tabs>
          <w:tab w:val="num" w:pos="2160"/>
        </w:tabs>
        <w:ind w:left="2160" w:hanging="360"/>
      </w:pPr>
      <w:rPr>
        <w:rFonts w:ascii="Wingdings" w:hAnsi="Wingdings"/>
      </w:rPr>
    </w:lvl>
    <w:lvl w:ilvl="3" w:tplc="6BC4C0FA">
      <w:start w:val="1"/>
      <w:numFmt w:val="bullet"/>
      <w:lvlText w:val=""/>
      <w:lvlJc w:val="left"/>
      <w:pPr>
        <w:tabs>
          <w:tab w:val="num" w:pos="2880"/>
        </w:tabs>
        <w:ind w:left="2880" w:hanging="360"/>
      </w:pPr>
      <w:rPr>
        <w:rFonts w:ascii="Symbol" w:hAnsi="Symbol"/>
      </w:rPr>
    </w:lvl>
    <w:lvl w:ilvl="4" w:tplc="E9E2102E">
      <w:start w:val="1"/>
      <w:numFmt w:val="bullet"/>
      <w:lvlText w:val="o"/>
      <w:lvlJc w:val="left"/>
      <w:pPr>
        <w:tabs>
          <w:tab w:val="num" w:pos="3600"/>
        </w:tabs>
        <w:ind w:left="3600" w:hanging="360"/>
      </w:pPr>
      <w:rPr>
        <w:rFonts w:ascii="Courier New" w:hAnsi="Courier New"/>
      </w:rPr>
    </w:lvl>
    <w:lvl w:ilvl="5" w:tplc="FCECA23C">
      <w:start w:val="1"/>
      <w:numFmt w:val="bullet"/>
      <w:lvlText w:val=""/>
      <w:lvlJc w:val="left"/>
      <w:pPr>
        <w:tabs>
          <w:tab w:val="num" w:pos="4320"/>
        </w:tabs>
        <w:ind w:left="4320" w:hanging="360"/>
      </w:pPr>
      <w:rPr>
        <w:rFonts w:ascii="Wingdings" w:hAnsi="Wingdings"/>
      </w:rPr>
    </w:lvl>
    <w:lvl w:ilvl="6" w:tplc="735622FC">
      <w:start w:val="1"/>
      <w:numFmt w:val="bullet"/>
      <w:lvlText w:val=""/>
      <w:lvlJc w:val="left"/>
      <w:pPr>
        <w:tabs>
          <w:tab w:val="num" w:pos="5040"/>
        </w:tabs>
        <w:ind w:left="5040" w:hanging="360"/>
      </w:pPr>
      <w:rPr>
        <w:rFonts w:ascii="Symbol" w:hAnsi="Symbol"/>
      </w:rPr>
    </w:lvl>
    <w:lvl w:ilvl="7" w:tplc="904AF3F2">
      <w:start w:val="1"/>
      <w:numFmt w:val="bullet"/>
      <w:lvlText w:val="o"/>
      <w:lvlJc w:val="left"/>
      <w:pPr>
        <w:tabs>
          <w:tab w:val="num" w:pos="5760"/>
        </w:tabs>
        <w:ind w:left="5760" w:hanging="360"/>
      </w:pPr>
      <w:rPr>
        <w:rFonts w:ascii="Courier New" w:hAnsi="Courier New"/>
      </w:rPr>
    </w:lvl>
    <w:lvl w:ilvl="8" w:tplc="1F72CCA0">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1"/>
    <w:lvl w:ilvl="0" w:tplc="A86822E2">
      <w:start w:val="1"/>
      <w:numFmt w:val="bullet"/>
      <w:lvlText w:val=""/>
      <w:lvlJc w:val="left"/>
      <w:pPr>
        <w:ind w:left="720" w:hanging="360"/>
      </w:pPr>
      <w:rPr>
        <w:rFonts w:ascii="Symbol" w:hAnsi="Symbol"/>
      </w:rPr>
    </w:lvl>
    <w:lvl w:ilvl="1" w:tplc="B04E3EDC">
      <w:start w:val="1"/>
      <w:numFmt w:val="bullet"/>
      <w:lvlText w:val="o"/>
      <w:lvlJc w:val="left"/>
      <w:pPr>
        <w:tabs>
          <w:tab w:val="num" w:pos="1440"/>
        </w:tabs>
        <w:ind w:left="1440" w:hanging="360"/>
      </w:pPr>
      <w:rPr>
        <w:rFonts w:ascii="Courier New" w:hAnsi="Courier New"/>
      </w:rPr>
    </w:lvl>
    <w:lvl w:ilvl="2" w:tplc="ECFAB020">
      <w:start w:val="1"/>
      <w:numFmt w:val="bullet"/>
      <w:lvlText w:val=""/>
      <w:lvlJc w:val="left"/>
      <w:pPr>
        <w:tabs>
          <w:tab w:val="num" w:pos="2160"/>
        </w:tabs>
        <w:ind w:left="2160" w:hanging="360"/>
      </w:pPr>
      <w:rPr>
        <w:rFonts w:ascii="Wingdings" w:hAnsi="Wingdings"/>
      </w:rPr>
    </w:lvl>
    <w:lvl w:ilvl="3" w:tplc="5B9CCCE4">
      <w:start w:val="1"/>
      <w:numFmt w:val="bullet"/>
      <w:lvlText w:val=""/>
      <w:lvlJc w:val="left"/>
      <w:pPr>
        <w:tabs>
          <w:tab w:val="num" w:pos="2880"/>
        </w:tabs>
        <w:ind w:left="2880" w:hanging="360"/>
      </w:pPr>
      <w:rPr>
        <w:rFonts w:ascii="Symbol" w:hAnsi="Symbol"/>
      </w:rPr>
    </w:lvl>
    <w:lvl w:ilvl="4" w:tplc="BBB47FB2">
      <w:start w:val="1"/>
      <w:numFmt w:val="bullet"/>
      <w:lvlText w:val="o"/>
      <w:lvlJc w:val="left"/>
      <w:pPr>
        <w:tabs>
          <w:tab w:val="num" w:pos="3600"/>
        </w:tabs>
        <w:ind w:left="3600" w:hanging="360"/>
      </w:pPr>
      <w:rPr>
        <w:rFonts w:ascii="Courier New" w:hAnsi="Courier New"/>
      </w:rPr>
    </w:lvl>
    <w:lvl w:ilvl="5" w:tplc="69C8BF7A">
      <w:start w:val="1"/>
      <w:numFmt w:val="bullet"/>
      <w:lvlText w:val=""/>
      <w:lvlJc w:val="left"/>
      <w:pPr>
        <w:tabs>
          <w:tab w:val="num" w:pos="4320"/>
        </w:tabs>
        <w:ind w:left="4320" w:hanging="360"/>
      </w:pPr>
      <w:rPr>
        <w:rFonts w:ascii="Wingdings" w:hAnsi="Wingdings"/>
      </w:rPr>
    </w:lvl>
    <w:lvl w:ilvl="6" w:tplc="2DF4458C">
      <w:start w:val="1"/>
      <w:numFmt w:val="bullet"/>
      <w:lvlText w:val=""/>
      <w:lvlJc w:val="left"/>
      <w:pPr>
        <w:tabs>
          <w:tab w:val="num" w:pos="5040"/>
        </w:tabs>
        <w:ind w:left="5040" w:hanging="360"/>
      </w:pPr>
      <w:rPr>
        <w:rFonts w:ascii="Symbol" w:hAnsi="Symbol"/>
      </w:rPr>
    </w:lvl>
    <w:lvl w:ilvl="7" w:tplc="74C4F31C">
      <w:start w:val="1"/>
      <w:numFmt w:val="bullet"/>
      <w:lvlText w:val="o"/>
      <w:lvlJc w:val="left"/>
      <w:pPr>
        <w:tabs>
          <w:tab w:val="num" w:pos="5760"/>
        </w:tabs>
        <w:ind w:left="5760" w:hanging="360"/>
      </w:pPr>
      <w:rPr>
        <w:rFonts w:ascii="Courier New" w:hAnsi="Courier New"/>
      </w:rPr>
    </w:lvl>
    <w:lvl w:ilvl="8" w:tplc="2F005A6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28"/>
    <w:rsid w:val="00022BB8"/>
    <w:rsid w:val="000231EB"/>
    <w:rsid w:val="0004386F"/>
    <w:rsid w:val="00051C06"/>
    <w:rsid w:val="000A7344"/>
    <w:rsid w:val="000B3147"/>
    <w:rsid w:val="000B763C"/>
    <w:rsid w:val="000E37DA"/>
    <w:rsid w:val="000F2E5C"/>
    <w:rsid w:val="00114246"/>
    <w:rsid w:val="0012176C"/>
    <w:rsid w:val="001861E1"/>
    <w:rsid w:val="001B0817"/>
    <w:rsid w:val="001B7394"/>
    <w:rsid w:val="001D509F"/>
    <w:rsid w:val="001E468C"/>
    <w:rsid w:val="001F0918"/>
    <w:rsid w:val="00203687"/>
    <w:rsid w:val="00224CA8"/>
    <w:rsid w:val="002323A4"/>
    <w:rsid w:val="00320F34"/>
    <w:rsid w:val="00320F65"/>
    <w:rsid w:val="003320D2"/>
    <w:rsid w:val="00376A28"/>
    <w:rsid w:val="00377711"/>
    <w:rsid w:val="0038243F"/>
    <w:rsid w:val="003A1890"/>
    <w:rsid w:val="003C4656"/>
    <w:rsid w:val="00401CD7"/>
    <w:rsid w:val="0040423C"/>
    <w:rsid w:val="0040431B"/>
    <w:rsid w:val="00425A25"/>
    <w:rsid w:val="00433F0C"/>
    <w:rsid w:val="00452556"/>
    <w:rsid w:val="00470315"/>
    <w:rsid w:val="00487FC5"/>
    <w:rsid w:val="00502FB4"/>
    <w:rsid w:val="00547D55"/>
    <w:rsid w:val="00550C9D"/>
    <w:rsid w:val="0058388E"/>
    <w:rsid w:val="006223E6"/>
    <w:rsid w:val="00667847"/>
    <w:rsid w:val="00692C53"/>
    <w:rsid w:val="006C67AD"/>
    <w:rsid w:val="006F7128"/>
    <w:rsid w:val="007553E9"/>
    <w:rsid w:val="00766A2A"/>
    <w:rsid w:val="00782196"/>
    <w:rsid w:val="007B1435"/>
    <w:rsid w:val="007C5E61"/>
    <w:rsid w:val="007D1D55"/>
    <w:rsid w:val="007F00D0"/>
    <w:rsid w:val="00804D56"/>
    <w:rsid w:val="00807CDF"/>
    <w:rsid w:val="00821196"/>
    <w:rsid w:val="00856D17"/>
    <w:rsid w:val="00875D36"/>
    <w:rsid w:val="00881A51"/>
    <w:rsid w:val="00891074"/>
    <w:rsid w:val="00891CD9"/>
    <w:rsid w:val="008F1C0D"/>
    <w:rsid w:val="00941E64"/>
    <w:rsid w:val="009669BF"/>
    <w:rsid w:val="00975555"/>
    <w:rsid w:val="00993A56"/>
    <w:rsid w:val="009972A8"/>
    <w:rsid w:val="009A6B9F"/>
    <w:rsid w:val="009C44DF"/>
    <w:rsid w:val="009F55AB"/>
    <w:rsid w:val="00A17BC5"/>
    <w:rsid w:val="00A23D25"/>
    <w:rsid w:val="00A37E99"/>
    <w:rsid w:val="00A4512F"/>
    <w:rsid w:val="00A46DDF"/>
    <w:rsid w:val="00A72CF8"/>
    <w:rsid w:val="00A74994"/>
    <w:rsid w:val="00A843BC"/>
    <w:rsid w:val="00A8712E"/>
    <w:rsid w:val="00A96F5F"/>
    <w:rsid w:val="00AA3794"/>
    <w:rsid w:val="00B63EAD"/>
    <w:rsid w:val="00B669D4"/>
    <w:rsid w:val="00BD0E3D"/>
    <w:rsid w:val="00BF2EFE"/>
    <w:rsid w:val="00C04005"/>
    <w:rsid w:val="00C34E60"/>
    <w:rsid w:val="00C62FE6"/>
    <w:rsid w:val="00C8530B"/>
    <w:rsid w:val="00C85F62"/>
    <w:rsid w:val="00CA63E3"/>
    <w:rsid w:val="00D01D65"/>
    <w:rsid w:val="00D13B43"/>
    <w:rsid w:val="00D44F56"/>
    <w:rsid w:val="00D5196D"/>
    <w:rsid w:val="00D56015"/>
    <w:rsid w:val="00D677F6"/>
    <w:rsid w:val="00D95BEE"/>
    <w:rsid w:val="00DF5B51"/>
    <w:rsid w:val="00DF61EC"/>
    <w:rsid w:val="00E321AC"/>
    <w:rsid w:val="00E44DB7"/>
    <w:rsid w:val="00E521B6"/>
    <w:rsid w:val="00E709C8"/>
    <w:rsid w:val="00E74D2D"/>
    <w:rsid w:val="00E756D5"/>
    <w:rsid w:val="00E97DC9"/>
    <w:rsid w:val="00EB6B6C"/>
    <w:rsid w:val="00EC406B"/>
    <w:rsid w:val="00EE210D"/>
    <w:rsid w:val="00EE617B"/>
    <w:rsid w:val="00EF3CBA"/>
    <w:rsid w:val="00F22FD6"/>
    <w:rsid w:val="00F46AF1"/>
    <w:rsid w:val="00F619C7"/>
    <w:rsid w:val="00F82573"/>
    <w:rsid w:val="00FA0A33"/>
    <w:rsid w:val="00FA23AE"/>
    <w:rsid w:val="00FA7BAD"/>
    <w:rsid w:val="00FB0334"/>
    <w:rsid w:val="00FC40A1"/>
    <w:rsid w:val="00FD53F5"/>
    <w:rsid w:val="00FE23E8"/>
    <w:rsid w:val="00FE3D9E"/>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86F"/>
    <w:rPr>
      <w:rFonts w:ascii="Arial" w:hAnsi="Arial"/>
      <w:sz w:val="20"/>
    </w:rPr>
  </w:style>
  <w:style w:type="paragraph" w:styleId="Antrat1">
    <w:name w:val="heading 1"/>
    <w:basedOn w:val="prastasis"/>
    <w:next w:val="prastasis"/>
    <w:link w:val="Antrat1Diagrama"/>
    <w:uiPriority w:val="9"/>
    <w:qFormat/>
    <w:rsid w:val="003A1890"/>
    <w:pPr>
      <w:ind w:left="357" w:hanging="357"/>
      <w:contextualSpacing/>
      <w:outlineLvl w:val="0"/>
    </w:pPr>
    <w:rPr>
      <w:b/>
      <w:caps/>
      <w:color w:val="1F4E79" w:themeColor="accent1" w:themeShade="80"/>
      <w:sz w:val="22"/>
      <w:szCs w:val="28"/>
    </w:rPr>
  </w:style>
  <w:style w:type="paragraph" w:styleId="Antrat2">
    <w:name w:val="heading 2"/>
    <w:basedOn w:val="prastasis"/>
    <w:next w:val="prastasis"/>
    <w:link w:val="Antrat2Diagrama"/>
    <w:uiPriority w:val="9"/>
    <w:unhideWhenUsed/>
    <w:qFormat/>
    <w:rsid w:val="000B3147"/>
    <w:pPr>
      <w:ind w:left="697" w:hanging="357"/>
      <w:contextualSpacing/>
      <w:outlineLvl w:val="1"/>
    </w:pPr>
    <w:rPr>
      <w:b/>
      <w:color w:val="1F4E79" w:themeColor="accent1" w:themeShade="80"/>
      <w:sz w:val="22"/>
      <w:szCs w:val="28"/>
    </w:rPr>
  </w:style>
  <w:style w:type="paragraph" w:styleId="Antrat3">
    <w:name w:val="heading 3"/>
    <w:basedOn w:val="prastasis"/>
    <w:next w:val="prastasis"/>
    <w:link w:val="Antrat3Diagrama"/>
    <w:uiPriority w:val="9"/>
    <w:unhideWhenUsed/>
    <w:qFormat/>
    <w:rsid w:val="007553E9"/>
    <w:pPr>
      <w:ind w:left="720"/>
      <w:contextualSpacing/>
      <w:outlineLvl w:val="2"/>
    </w:pPr>
    <w:rPr>
      <w:b/>
      <w:bCs/>
      <w:iCs/>
      <w:color w:val="1F4E79" w:themeColor="accent1" w:themeShade="80"/>
      <w:sz w:val="22"/>
    </w:rPr>
  </w:style>
  <w:style w:type="paragraph" w:styleId="Antrat4">
    <w:name w:val="heading 4"/>
    <w:basedOn w:val="prastasis"/>
    <w:next w:val="prastasis"/>
    <w:link w:val="Antrat4Diagrama"/>
    <w:uiPriority w:val="9"/>
    <w:unhideWhenUsed/>
    <w:qFormat/>
    <w:rsid w:val="00F82573"/>
    <w:pPr>
      <w:ind w:left="720"/>
      <w:contextualSpacing/>
      <w:outlineLvl w:val="3"/>
    </w:pPr>
    <w:rPr>
      <w:bCs/>
      <w:i/>
      <w:iCs/>
      <w:color w:val="1F4E79" w:themeColor="accent1" w:themeShade="80"/>
    </w:rPr>
  </w:style>
  <w:style w:type="paragraph" w:styleId="Antrat5">
    <w:name w:val="heading 5"/>
    <w:basedOn w:val="prastasis"/>
    <w:next w:val="prastasis"/>
    <w:link w:val="Antrat5Diagrama"/>
    <w:uiPriority w:val="9"/>
    <w:semiHidden/>
    <w:unhideWhenUsed/>
    <w:qFormat/>
    <w:rsid w:val="00A96F5F"/>
    <w:pPr>
      <w:keepNext/>
      <w:keepLines/>
      <w:spacing w:before="40" w:after="0"/>
      <w:outlineLvl w:val="4"/>
    </w:pPr>
    <w:rPr>
      <w:rFonts w:eastAsiaTheme="majorEastAsia" w:cstheme="majorBidi"/>
      <w:color w:val="1F4E79" w:themeColor="accent1" w:themeShade="80"/>
    </w:rPr>
  </w:style>
  <w:style w:type="paragraph" w:styleId="Antrat6">
    <w:name w:val="heading 6"/>
    <w:basedOn w:val="prastasis"/>
    <w:next w:val="prastasis"/>
    <w:link w:val="Antrat6Diagrama"/>
    <w:uiPriority w:val="9"/>
    <w:qFormat/>
    <w:rsid w:val="00506D7A"/>
    <w:pPr>
      <w:keepNext/>
      <w:keepLines/>
      <w:spacing w:before="40" w:after="0"/>
      <w:outlineLvl w:val="5"/>
    </w:pPr>
    <w:rPr>
      <w:rFonts w:ascii="Times New Roman" w:eastAsia="Times New Roman" w:hAnsi="Times New Roman" w:cs="Times New Roman"/>
      <w:b/>
      <w:bCs/>
      <w:color w:val="1F3763"/>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D95BEE"/>
    <w:pPr>
      <w:spacing w:after="0" w:line="240" w:lineRule="auto"/>
    </w:pPr>
    <w:rPr>
      <w:rFonts w:ascii="Arial" w:eastAsiaTheme="minorEastAsia" w:hAnsi="Arial"/>
      <w:sz w:val="20"/>
      <w:lang w:val="en-US"/>
    </w:rPr>
  </w:style>
  <w:style w:type="character" w:customStyle="1" w:styleId="BetarpDiagrama">
    <w:name w:val="Be tarpų Diagrama"/>
    <w:basedOn w:val="Numatytasispastraiposriftas"/>
    <w:link w:val="Betarp"/>
    <w:uiPriority w:val="1"/>
    <w:rsid w:val="00D95BEE"/>
    <w:rPr>
      <w:rFonts w:ascii="Arial" w:eastAsiaTheme="minorEastAsia" w:hAnsi="Arial"/>
      <w:sz w:val="20"/>
      <w:lang w:val="en-US"/>
    </w:rPr>
  </w:style>
  <w:style w:type="character" w:customStyle="1" w:styleId="Antrat1Diagrama">
    <w:name w:val="Antraštė 1 Diagrama"/>
    <w:basedOn w:val="Numatytasispastraiposriftas"/>
    <w:link w:val="Antrat1"/>
    <w:uiPriority w:val="9"/>
    <w:rsid w:val="003A1890"/>
    <w:rPr>
      <w:rFonts w:ascii="Arial" w:hAnsi="Arial"/>
      <w:b/>
      <w:caps/>
      <w:color w:val="1F4E79" w:themeColor="accent1" w:themeShade="80"/>
      <w:szCs w:val="28"/>
    </w:rPr>
  </w:style>
  <w:style w:type="character" w:customStyle="1" w:styleId="Antrat2Diagrama">
    <w:name w:val="Antraštė 2 Diagrama"/>
    <w:basedOn w:val="Numatytasispastraiposriftas"/>
    <w:link w:val="Antrat2"/>
    <w:uiPriority w:val="9"/>
    <w:rsid w:val="000B3147"/>
    <w:rPr>
      <w:rFonts w:ascii="Arial" w:hAnsi="Arial"/>
      <w:b/>
      <w:color w:val="1F4E79" w:themeColor="accent1" w:themeShade="80"/>
      <w:szCs w:val="28"/>
    </w:rPr>
  </w:style>
  <w:style w:type="character" w:customStyle="1" w:styleId="Antrat3Diagrama">
    <w:name w:val="Antraštė 3 Diagrama"/>
    <w:basedOn w:val="Numatytasispastraiposriftas"/>
    <w:link w:val="Antrat3"/>
    <w:uiPriority w:val="9"/>
    <w:rsid w:val="007553E9"/>
    <w:rPr>
      <w:rFonts w:ascii="Arial" w:hAnsi="Arial"/>
      <w:b/>
      <w:bCs/>
      <w:iCs/>
      <w:color w:val="1F4E79" w:themeColor="accent1" w:themeShade="8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F82573"/>
    <w:rPr>
      <w:rFonts w:ascii="Arial" w:hAnsi="Arial"/>
      <w:bCs/>
      <w:i/>
      <w:iCs/>
      <w:color w:val="1F4E79" w:themeColor="accent1" w:themeShade="80"/>
      <w:sz w:val="2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styleId="Turinys3">
    <w:name w:val="toc 3"/>
    <w:basedOn w:val="prastasis"/>
    <w:next w:val="prastasis"/>
    <w:autoRedefine/>
    <w:uiPriority w:val="39"/>
    <w:unhideWhenUsed/>
    <w:rsid w:val="001D509F"/>
    <w:pPr>
      <w:spacing w:after="100"/>
      <w:ind w:left="440"/>
    </w:pPr>
  </w:style>
  <w:style w:type="character" w:customStyle="1" w:styleId="Antrat5Diagrama">
    <w:name w:val="Antraštė 5 Diagrama"/>
    <w:basedOn w:val="Numatytasispastraiposriftas"/>
    <w:link w:val="Antrat5"/>
    <w:uiPriority w:val="9"/>
    <w:semiHidden/>
    <w:rsid w:val="00A96F5F"/>
    <w:rPr>
      <w:rFonts w:ascii="Arial" w:eastAsiaTheme="majorEastAsia" w:hAnsi="Arial" w:cstheme="majorBidi"/>
      <w:color w:val="1F4E79" w:themeColor="accent1" w:themeShade="80"/>
      <w:sz w:val="20"/>
    </w:rPr>
  </w:style>
  <w:style w:type="character" w:customStyle="1" w:styleId="Antrat6Diagrama">
    <w:name w:val="Antraštė 6 Diagrama"/>
    <w:basedOn w:val="Numatytasispastraiposriftas"/>
    <w:link w:val="Antrat6"/>
    <w:uiPriority w:val="9"/>
    <w:rsid w:val="00506D7A"/>
    <w:rPr>
      <w:rFonts w:ascii="Calibri Light" w:eastAsia="Times New Roman" w:hAnsi="Calibri Light" w:cs="Times New Roman"/>
      <w:color w:val="1F3763"/>
    </w:rPr>
  </w:style>
  <w:style w:type="paragraph" w:customStyle="1" w:styleId="tddiv">
    <w:name w:val="td_div"/>
    <w:basedOn w:val="prastasis"/>
    <w:pPr>
      <w:pBdr>
        <w:left w:val="none" w:sz="0" w:space="5" w:color="auto"/>
        <w:right w:val="none" w:sz="0" w:space="5" w:color="auto"/>
      </w:pBdr>
    </w:p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table" w:customStyle="1" w:styleId="table-width-portrait">
    <w:name w:val="table-width-portrait"/>
    <w:basedOn w:val="prastojilentel"/>
    <w:tblPr/>
  </w:style>
  <w:style w:type="paragraph" w:customStyle="1" w:styleId="tdrightdiv">
    <w:name w:val="td_right_div"/>
    <w:basedOn w:val="prastasis"/>
    <w:pPr>
      <w:jc w:val="right"/>
    </w:pPr>
  </w:style>
  <w:style w:type="paragraph" w:styleId="Debesliotekstas">
    <w:name w:val="Balloon Text"/>
    <w:basedOn w:val="prastasis"/>
    <w:link w:val="DebesliotekstasDiagrama"/>
    <w:uiPriority w:val="99"/>
    <w:semiHidden/>
    <w:unhideWhenUsed/>
    <w:rsid w:val="00E74D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4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after="120" w:line="259"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386F"/>
    <w:rPr>
      <w:rFonts w:ascii="Arial" w:hAnsi="Arial"/>
      <w:sz w:val="20"/>
    </w:rPr>
  </w:style>
  <w:style w:type="paragraph" w:styleId="Antrat1">
    <w:name w:val="heading 1"/>
    <w:basedOn w:val="prastasis"/>
    <w:next w:val="prastasis"/>
    <w:link w:val="Antrat1Diagrama"/>
    <w:uiPriority w:val="9"/>
    <w:qFormat/>
    <w:rsid w:val="003A1890"/>
    <w:pPr>
      <w:ind w:left="357" w:hanging="357"/>
      <w:contextualSpacing/>
      <w:outlineLvl w:val="0"/>
    </w:pPr>
    <w:rPr>
      <w:b/>
      <w:caps/>
      <w:color w:val="1F4E79" w:themeColor="accent1" w:themeShade="80"/>
      <w:sz w:val="22"/>
      <w:szCs w:val="28"/>
    </w:rPr>
  </w:style>
  <w:style w:type="paragraph" w:styleId="Antrat2">
    <w:name w:val="heading 2"/>
    <w:basedOn w:val="prastasis"/>
    <w:next w:val="prastasis"/>
    <w:link w:val="Antrat2Diagrama"/>
    <w:uiPriority w:val="9"/>
    <w:unhideWhenUsed/>
    <w:qFormat/>
    <w:rsid w:val="000B3147"/>
    <w:pPr>
      <w:ind w:left="697" w:hanging="357"/>
      <w:contextualSpacing/>
      <w:outlineLvl w:val="1"/>
    </w:pPr>
    <w:rPr>
      <w:b/>
      <w:color w:val="1F4E79" w:themeColor="accent1" w:themeShade="80"/>
      <w:sz w:val="22"/>
      <w:szCs w:val="28"/>
    </w:rPr>
  </w:style>
  <w:style w:type="paragraph" w:styleId="Antrat3">
    <w:name w:val="heading 3"/>
    <w:basedOn w:val="prastasis"/>
    <w:next w:val="prastasis"/>
    <w:link w:val="Antrat3Diagrama"/>
    <w:uiPriority w:val="9"/>
    <w:unhideWhenUsed/>
    <w:qFormat/>
    <w:rsid w:val="007553E9"/>
    <w:pPr>
      <w:ind w:left="720"/>
      <w:contextualSpacing/>
      <w:outlineLvl w:val="2"/>
    </w:pPr>
    <w:rPr>
      <w:b/>
      <w:bCs/>
      <w:iCs/>
      <w:color w:val="1F4E79" w:themeColor="accent1" w:themeShade="80"/>
      <w:sz w:val="22"/>
    </w:rPr>
  </w:style>
  <w:style w:type="paragraph" w:styleId="Antrat4">
    <w:name w:val="heading 4"/>
    <w:basedOn w:val="prastasis"/>
    <w:next w:val="prastasis"/>
    <w:link w:val="Antrat4Diagrama"/>
    <w:uiPriority w:val="9"/>
    <w:unhideWhenUsed/>
    <w:qFormat/>
    <w:rsid w:val="00F82573"/>
    <w:pPr>
      <w:ind w:left="720"/>
      <w:contextualSpacing/>
      <w:outlineLvl w:val="3"/>
    </w:pPr>
    <w:rPr>
      <w:bCs/>
      <w:i/>
      <w:iCs/>
      <w:color w:val="1F4E79" w:themeColor="accent1" w:themeShade="80"/>
    </w:rPr>
  </w:style>
  <w:style w:type="paragraph" w:styleId="Antrat5">
    <w:name w:val="heading 5"/>
    <w:basedOn w:val="prastasis"/>
    <w:next w:val="prastasis"/>
    <w:link w:val="Antrat5Diagrama"/>
    <w:uiPriority w:val="9"/>
    <w:semiHidden/>
    <w:unhideWhenUsed/>
    <w:qFormat/>
    <w:rsid w:val="00A96F5F"/>
    <w:pPr>
      <w:keepNext/>
      <w:keepLines/>
      <w:spacing w:before="40" w:after="0"/>
      <w:outlineLvl w:val="4"/>
    </w:pPr>
    <w:rPr>
      <w:rFonts w:eastAsiaTheme="majorEastAsia" w:cstheme="majorBidi"/>
      <w:color w:val="1F4E79" w:themeColor="accent1" w:themeShade="80"/>
    </w:rPr>
  </w:style>
  <w:style w:type="paragraph" w:styleId="Antrat6">
    <w:name w:val="heading 6"/>
    <w:basedOn w:val="prastasis"/>
    <w:next w:val="prastasis"/>
    <w:link w:val="Antrat6Diagrama"/>
    <w:uiPriority w:val="9"/>
    <w:qFormat/>
    <w:rsid w:val="00506D7A"/>
    <w:pPr>
      <w:keepNext/>
      <w:keepLines/>
      <w:spacing w:before="40" w:after="0"/>
      <w:outlineLvl w:val="5"/>
    </w:pPr>
    <w:rPr>
      <w:rFonts w:ascii="Times New Roman" w:eastAsia="Times New Roman" w:hAnsi="Times New Roman" w:cs="Times New Roman"/>
      <w:b/>
      <w:bCs/>
      <w:color w:val="1F3763"/>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76A28"/>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76A28"/>
  </w:style>
  <w:style w:type="paragraph" w:styleId="Porat">
    <w:name w:val="footer"/>
    <w:basedOn w:val="prastasis"/>
    <w:link w:val="PoratDiagrama"/>
    <w:uiPriority w:val="99"/>
    <w:unhideWhenUsed/>
    <w:rsid w:val="00376A28"/>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76A28"/>
  </w:style>
  <w:style w:type="character" w:styleId="Rykinuoroda">
    <w:name w:val="Intense Reference"/>
    <w:basedOn w:val="Numatytasispastraiposriftas"/>
    <w:uiPriority w:val="32"/>
    <w:qFormat/>
    <w:rsid w:val="00376A28"/>
    <w:rPr>
      <w:b/>
      <w:bCs/>
      <w:smallCaps/>
      <w:color w:val="5B9BD5" w:themeColor="accent1"/>
      <w:spacing w:val="5"/>
    </w:rPr>
  </w:style>
  <w:style w:type="paragraph" w:styleId="Betarp">
    <w:name w:val="No Spacing"/>
    <w:link w:val="BetarpDiagrama"/>
    <w:uiPriority w:val="1"/>
    <w:qFormat/>
    <w:rsid w:val="00D95BEE"/>
    <w:pPr>
      <w:spacing w:after="0" w:line="240" w:lineRule="auto"/>
    </w:pPr>
    <w:rPr>
      <w:rFonts w:ascii="Arial" w:eastAsiaTheme="minorEastAsia" w:hAnsi="Arial"/>
      <w:sz w:val="20"/>
      <w:lang w:val="en-US"/>
    </w:rPr>
  </w:style>
  <w:style w:type="character" w:customStyle="1" w:styleId="BetarpDiagrama">
    <w:name w:val="Be tarpų Diagrama"/>
    <w:basedOn w:val="Numatytasispastraiposriftas"/>
    <w:link w:val="Betarp"/>
    <w:uiPriority w:val="1"/>
    <w:rsid w:val="00D95BEE"/>
    <w:rPr>
      <w:rFonts w:ascii="Arial" w:eastAsiaTheme="minorEastAsia" w:hAnsi="Arial"/>
      <w:sz w:val="20"/>
      <w:lang w:val="en-US"/>
    </w:rPr>
  </w:style>
  <w:style w:type="character" w:customStyle="1" w:styleId="Antrat1Diagrama">
    <w:name w:val="Antraštė 1 Diagrama"/>
    <w:basedOn w:val="Numatytasispastraiposriftas"/>
    <w:link w:val="Antrat1"/>
    <w:uiPriority w:val="9"/>
    <w:rsid w:val="003A1890"/>
    <w:rPr>
      <w:rFonts w:ascii="Arial" w:hAnsi="Arial"/>
      <w:b/>
      <w:caps/>
      <w:color w:val="1F4E79" w:themeColor="accent1" w:themeShade="80"/>
      <w:szCs w:val="28"/>
    </w:rPr>
  </w:style>
  <w:style w:type="character" w:customStyle="1" w:styleId="Antrat2Diagrama">
    <w:name w:val="Antraštė 2 Diagrama"/>
    <w:basedOn w:val="Numatytasispastraiposriftas"/>
    <w:link w:val="Antrat2"/>
    <w:uiPriority w:val="9"/>
    <w:rsid w:val="000B3147"/>
    <w:rPr>
      <w:rFonts w:ascii="Arial" w:hAnsi="Arial"/>
      <w:b/>
      <w:color w:val="1F4E79" w:themeColor="accent1" w:themeShade="80"/>
      <w:szCs w:val="28"/>
    </w:rPr>
  </w:style>
  <w:style w:type="character" w:customStyle="1" w:styleId="Antrat3Diagrama">
    <w:name w:val="Antraštė 3 Diagrama"/>
    <w:basedOn w:val="Numatytasispastraiposriftas"/>
    <w:link w:val="Antrat3"/>
    <w:uiPriority w:val="9"/>
    <w:rsid w:val="007553E9"/>
    <w:rPr>
      <w:rFonts w:ascii="Arial" w:hAnsi="Arial"/>
      <w:b/>
      <w:bCs/>
      <w:iCs/>
      <w:color w:val="1F4E79" w:themeColor="accent1" w:themeShade="80"/>
    </w:rPr>
  </w:style>
  <w:style w:type="paragraph" w:customStyle="1" w:styleId="Default">
    <w:name w:val="Default"/>
    <w:rsid w:val="00C62FE6"/>
    <w:pPr>
      <w:autoSpaceDE w:val="0"/>
      <w:autoSpaceDN w:val="0"/>
      <w:adjustRightInd w:val="0"/>
      <w:spacing w:after="0" w:line="240" w:lineRule="auto"/>
    </w:pPr>
    <w:rPr>
      <w:rFonts w:cs="Calibri"/>
      <w:color w:val="000000"/>
      <w:sz w:val="24"/>
      <w:szCs w:val="24"/>
    </w:rPr>
  </w:style>
  <w:style w:type="character" w:customStyle="1" w:styleId="Antrat4Diagrama">
    <w:name w:val="Antraštė 4 Diagrama"/>
    <w:basedOn w:val="Numatytasispastraiposriftas"/>
    <w:link w:val="Antrat4"/>
    <w:uiPriority w:val="9"/>
    <w:rsid w:val="00F82573"/>
    <w:rPr>
      <w:rFonts w:ascii="Arial" w:hAnsi="Arial"/>
      <w:bCs/>
      <w:i/>
      <w:iCs/>
      <w:color w:val="1F4E79" w:themeColor="accent1" w:themeShade="80"/>
      <w:sz w:val="20"/>
    </w:rPr>
  </w:style>
  <w:style w:type="paragraph" w:styleId="Turinioantrat">
    <w:name w:val="TOC Heading"/>
    <w:basedOn w:val="Antrat1"/>
    <w:next w:val="prastasis"/>
    <w:uiPriority w:val="39"/>
    <w:unhideWhenUsed/>
    <w:qFormat/>
    <w:rsid w:val="001B0817"/>
    <w:pPr>
      <w:keepNext/>
      <w:keepLines/>
      <w:spacing w:before="240" w:after="0"/>
      <w:ind w:left="0" w:firstLine="0"/>
      <w:contextualSpacing w:val="0"/>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urinys1">
    <w:name w:val="toc 1"/>
    <w:basedOn w:val="prastasis"/>
    <w:next w:val="prastasis"/>
    <w:autoRedefine/>
    <w:uiPriority w:val="39"/>
    <w:unhideWhenUsed/>
    <w:rsid w:val="001B0817"/>
    <w:pPr>
      <w:spacing w:after="100"/>
      <w:ind w:left="0"/>
    </w:pPr>
  </w:style>
  <w:style w:type="paragraph" w:styleId="Turinys2">
    <w:name w:val="toc 2"/>
    <w:basedOn w:val="prastasis"/>
    <w:next w:val="prastasis"/>
    <w:autoRedefine/>
    <w:uiPriority w:val="39"/>
    <w:unhideWhenUsed/>
    <w:rsid w:val="001B0817"/>
    <w:pPr>
      <w:spacing w:after="100"/>
      <w:ind w:left="220"/>
    </w:pPr>
  </w:style>
  <w:style w:type="character" w:styleId="Hipersaitas">
    <w:name w:val="Hyperlink"/>
    <w:basedOn w:val="Numatytasispastraiposriftas"/>
    <w:uiPriority w:val="99"/>
    <w:unhideWhenUsed/>
    <w:rsid w:val="001B0817"/>
    <w:rPr>
      <w:color w:val="0563C1" w:themeColor="hyperlink"/>
      <w:u w:val="single"/>
    </w:rPr>
  </w:style>
  <w:style w:type="paragraph" w:styleId="Turinys3">
    <w:name w:val="toc 3"/>
    <w:basedOn w:val="prastasis"/>
    <w:next w:val="prastasis"/>
    <w:autoRedefine/>
    <w:uiPriority w:val="39"/>
    <w:unhideWhenUsed/>
    <w:rsid w:val="001D509F"/>
    <w:pPr>
      <w:spacing w:after="100"/>
      <w:ind w:left="440"/>
    </w:pPr>
  </w:style>
  <w:style w:type="character" w:customStyle="1" w:styleId="Antrat5Diagrama">
    <w:name w:val="Antraštė 5 Diagrama"/>
    <w:basedOn w:val="Numatytasispastraiposriftas"/>
    <w:link w:val="Antrat5"/>
    <w:uiPriority w:val="9"/>
    <w:semiHidden/>
    <w:rsid w:val="00A96F5F"/>
    <w:rPr>
      <w:rFonts w:ascii="Arial" w:eastAsiaTheme="majorEastAsia" w:hAnsi="Arial" w:cstheme="majorBidi"/>
      <w:color w:val="1F4E79" w:themeColor="accent1" w:themeShade="80"/>
      <w:sz w:val="20"/>
    </w:rPr>
  </w:style>
  <w:style w:type="character" w:customStyle="1" w:styleId="Antrat6Diagrama">
    <w:name w:val="Antraštė 6 Diagrama"/>
    <w:basedOn w:val="Numatytasispastraiposriftas"/>
    <w:link w:val="Antrat6"/>
    <w:uiPriority w:val="9"/>
    <w:rsid w:val="00506D7A"/>
    <w:rPr>
      <w:rFonts w:ascii="Calibri Light" w:eastAsia="Times New Roman" w:hAnsi="Calibri Light" w:cs="Times New Roman"/>
      <w:color w:val="1F3763"/>
    </w:rPr>
  </w:style>
  <w:style w:type="paragraph" w:customStyle="1" w:styleId="tddiv">
    <w:name w:val="td_div"/>
    <w:basedOn w:val="prastasis"/>
    <w:pPr>
      <w:pBdr>
        <w:left w:val="none" w:sz="0" w:space="5" w:color="auto"/>
        <w:right w:val="none" w:sz="0" w:space="5" w:color="auto"/>
      </w:pBdr>
    </w:pPr>
  </w:style>
  <w:style w:type="paragraph" w:customStyle="1" w:styleId="thleftdiv">
    <w:name w:val="th_left_div"/>
    <w:basedOn w:val="prastasis"/>
  </w:style>
  <w:style w:type="table" w:customStyle="1" w:styleId="tablebordered">
    <w:name w:val="table_bordered"/>
    <w:basedOn w:val="prastojilentel"/>
    <w:tblPr/>
  </w:style>
  <w:style w:type="paragraph" w:customStyle="1" w:styleId="thdiv">
    <w:name w:val="th_div"/>
    <w:basedOn w:val="prastasis"/>
    <w:pPr>
      <w:pBdr>
        <w:left w:val="none" w:sz="0" w:space="5" w:color="auto"/>
        <w:right w:val="none" w:sz="0" w:space="5" w:color="auto"/>
      </w:pBdr>
      <w:jc w:val="center"/>
    </w:pPr>
    <w:rPr>
      <w:b/>
      <w:bCs/>
    </w:rPr>
  </w:style>
  <w:style w:type="table" w:customStyle="1" w:styleId="table-width-portrait">
    <w:name w:val="table-width-portrait"/>
    <w:basedOn w:val="prastojilentel"/>
    <w:tblPr/>
  </w:style>
  <w:style w:type="paragraph" w:customStyle="1" w:styleId="tdrightdiv">
    <w:name w:val="td_right_div"/>
    <w:basedOn w:val="prastasis"/>
    <w:pPr>
      <w:jc w:val="right"/>
    </w:pPr>
  </w:style>
  <w:style w:type="paragraph" w:styleId="Debesliotekstas">
    <w:name w:val="Balloon Text"/>
    <w:basedOn w:val="prastasis"/>
    <w:link w:val="DebesliotekstasDiagrama"/>
    <w:uiPriority w:val="99"/>
    <w:semiHidden/>
    <w:unhideWhenUsed/>
    <w:rsid w:val="00E74D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74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yperlink" Target="https://www.eeagrants.lt/" TargetMode="Externa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s://olf.lt/en/civil-society-leaders-of-lithuania-and-ukraine-to-gather-in-ukreate-hub/"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BIsJr_49iy4"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yperlink" Target="https://www.facebook.com/EEEirNorvegijosparama/"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9.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75045</Words>
  <Characters>42777</Characters>
  <Application>Microsoft Office Word</Application>
  <DocSecurity>0</DocSecurity>
  <Lines>356</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SR Lithuania 2022</vt:lpstr>
      <vt:lpstr/>
    </vt:vector>
  </TitlesOfParts>
  <Company/>
  <LinksUpToDate>false</LinksUpToDate>
  <CharactersWithSpaces>117587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Lithuania 2022</dc:title>
  <dc:subject>Lithuania</dc:subject>
  <dc:creator>Akvilė Svirkė</dc:creator>
  <dc:description>This file is a representation of data sourced from GrACE (the information system for the EEA and Norway Grants) at this date and time of download. Changes to the data in GrACE made after the time of download are not reflected in this file. Please also be aware that any changes you do to this file may not be reflected in the data stored in GrACE. For information on the version/date of the downloaded document, please consult the advanced properties of this file.</dc:description>
  <cp:lastModifiedBy>Akvilė Svirkė</cp:lastModifiedBy>
  <cp:revision>2</cp:revision>
  <dcterms:created xsi:type="dcterms:W3CDTF">2023-04-13T07:45:00Z</dcterms:created>
  <dcterms:modified xsi:type="dcterms:W3CDTF">2023-04-13T07:45:00Z</dcterms:modified>
  <cp:category>4.30.76 Strategic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GrACE</vt:lpwstr>
  </property>
  <property fmtid="{D5CDD505-2E9C-101B-9397-08002B2CF9AE}" pid="3" name="Funding period">
    <vt:lpwstr>FM 2014-2021</vt:lpwstr>
  </property>
  <property fmtid="{D5CDD505-2E9C-101B-9397-08002B2CF9AE}" pid="4" name="GrACE context">
    <vt:lpwstr>Lithuania</vt:lpwstr>
  </property>
  <property fmtid="{D5CDD505-2E9C-101B-9397-08002B2CF9AE}" pid="5" name="GrACE date of creation">
    <vt:lpwstr>07-03-2023</vt:lpwstr>
  </property>
  <property fmtid="{D5CDD505-2E9C-101B-9397-08002B2CF9AE}" pid="6" name="GrACE date/time of download UTC">
    <vt:lpwstr>13-04-2023 07:43:36</vt:lpwstr>
  </property>
  <property fmtid="{D5CDD505-2E9C-101B-9397-08002B2CF9AE}" pid="7" name="GrACE disclaimer">
    <vt:lpwstr>This file is a representation of data sourced from GrACE (the information system for the EEA and Norway Grants) at this date and time of download. Changes to the data in GrACE made after the time of download are not reflected in this file. Please also be </vt:lpwstr>
  </property>
  <property fmtid="{D5CDD505-2E9C-101B-9397-08002B2CF9AE}" pid="8" name="GrACE document classification">
    <vt:lpwstr>4.30.76 Strategic Report</vt:lpwstr>
  </property>
  <property fmtid="{D5CDD505-2E9C-101B-9397-08002B2CF9AE}" pid="9" name="GrACE name">
    <vt:lpwstr>SR Lithuania 2022</vt:lpwstr>
  </property>
  <property fmtid="{D5CDD505-2E9C-101B-9397-08002B2CF9AE}" pid="10" name="GrACE reference ID">
    <vt:lpwstr>21371</vt:lpwstr>
  </property>
  <property fmtid="{D5CDD505-2E9C-101B-9397-08002B2CF9AE}" pid="11" name="GrACE version number and date">
    <vt:lpwstr>v1.0/05-04-2023</vt:lpwstr>
  </property>
</Properties>
</file>