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9C0D0" w14:textId="77777777" w:rsidR="007A127F" w:rsidRPr="00A06D0B" w:rsidRDefault="007A127F" w:rsidP="007A127F">
      <w:pPr>
        <w:pStyle w:val="Heading2"/>
        <w:numPr>
          <w:ilvl w:val="0"/>
          <w:numId w:val="0"/>
        </w:numPr>
        <w:ind w:left="687"/>
      </w:pPr>
      <w:bookmarkStart w:id="0" w:name="_Toc88241984"/>
      <w:r>
        <w:t>Declaração do requerente PRINCIPAL (PEDIDO COMPLETO)</w:t>
      </w:r>
      <w:bookmarkEnd w:id="0"/>
    </w:p>
    <w:p w14:paraId="7766C33A" w14:textId="7696BA01" w:rsidR="007A127F" w:rsidRPr="003E3F36" w:rsidRDefault="007A127F" w:rsidP="007A127F">
      <w:pPr>
        <w:tabs>
          <w:tab w:val="left" w:pos="-284"/>
        </w:tabs>
        <w:spacing w:before="120" w:line="240" w:lineRule="exact"/>
        <w:jc w:val="both"/>
        <w:rPr>
          <w:sz w:val="22"/>
          <w:szCs w:val="22"/>
        </w:rPr>
      </w:pPr>
      <w:r>
        <w:rPr>
          <w:sz w:val="22"/>
          <w:szCs w:val="22"/>
        </w:rPr>
        <w:t>O requerente principal, representado pelo abaixo assinado, enquanto signatário habilitado pelo requerente principal e, no âmbito do presente convite à apresentação de propostas, representando igualmente os eventuais correquerentes na ação proposta, declara que:</w:t>
      </w:r>
    </w:p>
    <w:p w14:paraId="3C5C75D7" w14:textId="77777777" w:rsidR="007A127F" w:rsidRPr="003E3F36" w:rsidRDefault="007A127F" w:rsidP="007A127F">
      <w:pPr>
        <w:numPr>
          <w:ilvl w:val="0"/>
          <w:numId w:val="2"/>
        </w:numPr>
        <w:tabs>
          <w:tab w:val="left" w:pos="-284"/>
          <w:tab w:val="left" w:pos="284"/>
        </w:tabs>
        <w:spacing w:before="120" w:line="240" w:lineRule="exact"/>
        <w:jc w:val="both"/>
        <w:rPr>
          <w:sz w:val="22"/>
          <w:szCs w:val="22"/>
        </w:rPr>
      </w:pPr>
      <w:r>
        <w:rPr>
          <w:sz w:val="22"/>
          <w:szCs w:val="22"/>
        </w:rPr>
        <w:t xml:space="preserve">o requerente principal dispõe das fontes de financiamento especificadas no ponto 2 das orientações destinadas aos requerentes; </w:t>
      </w:r>
    </w:p>
    <w:p w14:paraId="422196FE" w14:textId="77777777" w:rsidR="007A127F" w:rsidRPr="003E3F36" w:rsidRDefault="007A127F" w:rsidP="007A127F">
      <w:pPr>
        <w:numPr>
          <w:ilvl w:val="0"/>
          <w:numId w:val="2"/>
        </w:numPr>
        <w:tabs>
          <w:tab w:val="left" w:pos="-284"/>
          <w:tab w:val="left" w:pos="284"/>
        </w:tabs>
        <w:spacing w:before="120" w:line="240" w:lineRule="exact"/>
        <w:jc w:val="both"/>
        <w:rPr>
          <w:sz w:val="22"/>
          <w:szCs w:val="22"/>
        </w:rPr>
      </w:pPr>
      <w:r>
        <w:rPr>
          <w:sz w:val="22"/>
          <w:szCs w:val="22"/>
        </w:rPr>
        <w:t xml:space="preserve">o requerente principal dispõe de capacidade financeira suficiente para realizar a ação proposta ou o programa de trabalho proposto; </w:t>
      </w:r>
    </w:p>
    <w:p w14:paraId="1DAA589B" w14:textId="194EFEFB" w:rsidR="007A127F" w:rsidRPr="003E3F36" w:rsidRDefault="007A127F" w:rsidP="007A127F">
      <w:pPr>
        <w:numPr>
          <w:ilvl w:val="0"/>
          <w:numId w:val="2"/>
        </w:numPr>
        <w:tabs>
          <w:tab w:val="left" w:pos="-284"/>
          <w:tab w:val="left" w:pos="284"/>
        </w:tabs>
        <w:spacing w:before="120" w:line="240" w:lineRule="exact"/>
        <w:jc w:val="both"/>
        <w:rPr>
          <w:sz w:val="22"/>
          <w:szCs w:val="22"/>
        </w:rPr>
      </w:pPr>
      <w:r>
        <w:rPr>
          <w:sz w:val="22"/>
          <w:szCs w:val="22"/>
        </w:rPr>
        <w:t xml:space="preserve">o requerente principal certifica o estatuto jurídico do requerente principal, do(s) correquerente(s) , tal como indicado nas partes 3, 4 e 5 deste pedido; </w:t>
      </w:r>
    </w:p>
    <w:p w14:paraId="2B15ECFB" w14:textId="7DAAB9B5" w:rsidR="007A127F" w:rsidRPr="003E3F36" w:rsidRDefault="007A127F" w:rsidP="007A127F">
      <w:pPr>
        <w:numPr>
          <w:ilvl w:val="0"/>
          <w:numId w:val="2"/>
        </w:numPr>
        <w:tabs>
          <w:tab w:val="left" w:pos="-284"/>
          <w:tab w:val="left" w:pos="284"/>
        </w:tabs>
        <w:spacing w:before="120" w:line="240" w:lineRule="exact"/>
        <w:jc w:val="both"/>
        <w:rPr>
          <w:sz w:val="22"/>
          <w:szCs w:val="22"/>
        </w:rPr>
      </w:pPr>
      <w:r>
        <w:rPr>
          <w:sz w:val="22"/>
          <w:szCs w:val="22"/>
        </w:rPr>
        <w:t xml:space="preserve">o requerente principal, o(s) correquerente(s) têm as competências profissionais e as qualificações especificadas no ponto 2 das orientações destinadas aos requerentes; </w:t>
      </w:r>
    </w:p>
    <w:p w14:paraId="0D0A1233" w14:textId="77777777" w:rsidR="007A127F" w:rsidRPr="003E3F36" w:rsidRDefault="007A127F" w:rsidP="007A127F">
      <w:pPr>
        <w:numPr>
          <w:ilvl w:val="0"/>
          <w:numId w:val="2"/>
        </w:numPr>
        <w:tabs>
          <w:tab w:val="left" w:pos="-284"/>
          <w:tab w:val="left" w:pos="284"/>
        </w:tabs>
        <w:spacing w:before="120" w:line="240" w:lineRule="exact"/>
        <w:jc w:val="both"/>
        <w:rPr>
          <w:sz w:val="22"/>
          <w:szCs w:val="22"/>
        </w:rPr>
      </w:pPr>
      <w:r>
        <w:rPr>
          <w:sz w:val="22"/>
          <w:szCs w:val="22"/>
        </w:rPr>
        <w:t xml:space="preserve">o requerente principal é diretamente responsável pela preparação, gestão e execução da ação com o(s) correquerente(s) e entidade(s) afiliada(s) (caso existam), e não age na qualidade de intermediário; </w:t>
      </w:r>
    </w:p>
    <w:p w14:paraId="5668D3FE" w14:textId="2F16915C" w:rsidR="007A127F" w:rsidRPr="007A127F" w:rsidRDefault="007A127F" w:rsidP="007A127F">
      <w:pPr>
        <w:numPr>
          <w:ilvl w:val="0"/>
          <w:numId w:val="2"/>
        </w:numPr>
        <w:tabs>
          <w:tab w:val="left" w:pos="-284"/>
          <w:tab w:val="left" w:pos="284"/>
        </w:tabs>
        <w:spacing w:before="120" w:line="240" w:lineRule="exact"/>
        <w:jc w:val="both"/>
        <w:rPr>
          <w:sz w:val="22"/>
          <w:szCs w:val="22"/>
        </w:rPr>
      </w:pPr>
      <w:r w:rsidRPr="007A127F">
        <w:rPr>
          <w:sz w:val="22"/>
          <w:szCs w:val="22"/>
        </w:rPr>
        <w:t xml:space="preserve">o requerente principal, o(s) correquerente(s) deve(m) assinar a declaração sob compromisso de honra (anexo A14 do PRAG) certificando que não se encontram em nenhuma das situações impeditivas da participação nos contratos enumeradas no ponto 2.6.10.1 do guia prático (disponível no seguinte sítio Internet: </w:t>
      </w:r>
      <w:hyperlink r:id="rId5" w:history="1">
        <w:r w:rsidR="006842B7" w:rsidRPr="007721EA">
          <w:rPr>
            <w:rStyle w:val="Hyperlink"/>
            <w:sz w:val="22"/>
            <w:szCs w:val="22"/>
          </w:rPr>
          <w:t>https://wikis.ec.europa.eu/display/ExactExternalWiki/2.+Basic+rules</w:t>
        </w:r>
      </w:hyperlink>
      <w:r w:rsidR="006842B7" w:rsidRPr="007721EA">
        <w:rPr>
          <w:sz w:val="22"/>
          <w:szCs w:val="22"/>
        </w:rPr>
        <w:t xml:space="preserve">. </w:t>
      </w:r>
      <w:r w:rsidRPr="007A127F">
        <w:rPr>
          <w:sz w:val="22"/>
          <w:szCs w:val="22"/>
        </w:rPr>
        <w:t xml:space="preserve">Mais declara estar ciente e aceitar que, caso o requerente principal, o(s) correquerente(s) e a(s) entidade(s) afiliada(s), se for caso disso, participem no presente procedimento, apesar de se encontrarem numa das situações citadas, podem ser excluídos de outros procedimentos, em conformidade com o disposto no Regulamento Financeiro em vigor; </w:t>
      </w:r>
    </w:p>
    <w:p w14:paraId="0E99A137" w14:textId="1EAD8FE8" w:rsidR="007A127F" w:rsidRPr="003E3F36" w:rsidRDefault="007A127F" w:rsidP="007A127F">
      <w:pPr>
        <w:numPr>
          <w:ilvl w:val="0"/>
          <w:numId w:val="2"/>
        </w:numPr>
        <w:tabs>
          <w:tab w:val="left" w:pos="-284"/>
          <w:tab w:val="left" w:pos="284"/>
        </w:tabs>
        <w:spacing w:before="120" w:line="240" w:lineRule="exact"/>
        <w:jc w:val="both"/>
        <w:rPr>
          <w:sz w:val="22"/>
          <w:szCs w:val="22"/>
        </w:rPr>
      </w:pPr>
      <w:r>
        <w:rPr>
          <w:sz w:val="22"/>
          <w:szCs w:val="22"/>
        </w:rPr>
        <w:t xml:space="preserve">o requerente principal, cada um dos correquerentes podem apresentar imediatamente, mediante pedido, os documentos comprovativos mencionados no ponto 2.4 das orientações destinadas aos requerentes; </w:t>
      </w:r>
    </w:p>
    <w:p w14:paraId="36CA7F64" w14:textId="6044BE9B" w:rsidR="007A127F" w:rsidRDefault="007A127F" w:rsidP="007A127F">
      <w:pPr>
        <w:numPr>
          <w:ilvl w:val="0"/>
          <w:numId w:val="2"/>
        </w:numPr>
        <w:tabs>
          <w:tab w:val="left" w:pos="-284"/>
          <w:tab w:val="left" w:pos="284"/>
        </w:tabs>
        <w:spacing w:before="120" w:line="240" w:lineRule="exact"/>
        <w:jc w:val="both"/>
        <w:rPr>
          <w:b/>
          <w:sz w:val="22"/>
          <w:szCs w:val="22"/>
        </w:rPr>
      </w:pPr>
      <w:r>
        <w:rPr>
          <w:b/>
          <w:sz w:val="22"/>
          <w:szCs w:val="22"/>
        </w:rPr>
        <w:t xml:space="preserve">o requerente principal, cada </w:t>
      </w:r>
      <w:r>
        <w:rPr>
          <w:b/>
          <w:sz w:val="22"/>
          <w:szCs w:val="22"/>
        </w:rPr>
        <w:t>um dos correquerentes</w:t>
      </w:r>
      <w:r w:rsidR="006842B7">
        <w:rPr>
          <w:b/>
          <w:sz w:val="22"/>
          <w:szCs w:val="22"/>
        </w:rPr>
        <w:t xml:space="preserve"> </w:t>
      </w:r>
      <w:r>
        <w:rPr>
          <w:b/>
          <w:sz w:val="22"/>
          <w:szCs w:val="22"/>
        </w:rPr>
        <w:t xml:space="preserve">são elegíveis em conformidade com os critérios enunciados nos pontos 2.1.1 das orientações destinadas aos requerentes; </w:t>
      </w:r>
    </w:p>
    <w:p w14:paraId="1185F2F4" w14:textId="48512071" w:rsidR="007A127F" w:rsidRPr="003E3F36" w:rsidRDefault="007A127F" w:rsidP="007A127F">
      <w:pPr>
        <w:numPr>
          <w:ilvl w:val="0"/>
          <w:numId w:val="2"/>
        </w:numPr>
        <w:tabs>
          <w:tab w:val="left" w:pos="-284"/>
          <w:tab w:val="left" w:pos="284"/>
        </w:tabs>
        <w:spacing w:before="120" w:line="240" w:lineRule="exact"/>
        <w:jc w:val="both"/>
        <w:rPr>
          <w:sz w:val="22"/>
          <w:szCs w:val="22"/>
        </w:rPr>
      </w:pPr>
      <w:r>
        <w:rPr>
          <w:sz w:val="22"/>
          <w:szCs w:val="22"/>
        </w:rPr>
        <w:t xml:space="preserve">se for feita uma recomendação no sentido de lhe ser </w:t>
      </w:r>
      <w:r>
        <w:rPr>
          <w:sz w:val="22"/>
          <w:szCs w:val="22"/>
        </w:rPr>
        <w:t>atribuída uma subvenção, o requerente principal, os correquerentes aceitam as condições contratuais estabelecidas no modelo de contrato de subvenção que figura em anexo às orientações destinadas aos requerentes (anexo G) (ou no acordo de contribuição, se for o caso);</w:t>
      </w:r>
    </w:p>
    <w:p w14:paraId="5D2F192D" w14:textId="77777777" w:rsidR="006842B7" w:rsidRDefault="007A127F" w:rsidP="007A127F">
      <w:pPr>
        <w:tabs>
          <w:tab w:val="left" w:pos="-284"/>
        </w:tabs>
        <w:spacing w:before="120" w:line="240" w:lineRule="exact"/>
        <w:jc w:val="both"/>
        <w:rPr>
          <w:sz w:val="22"/>
          <w:szCs w:val="22"/>
        </w:rPr>
      </w:pPr>
      <w:r>
        <w:rPr>
          <w:sz w:val="22"/>
          <w:szCs w:val="22"/>
        </w:rPr>
        <w:t xml:space="preserve">Estas são as fontes e os montantes do financiamento da União recebidos ou solicitados para a ação ou parte da </w:t>
      </w:r>
      <w:r>
        <w:rPr>
          <w:sz w:val="22"/>
          <w:szCs w:val="22"/>
        </w:rPr>
        <w:t>ação ou para o funcionamento durante o mesmo exercício financeiro, bem como qualquer outro financiamento recebido ou solicitado para a mesma ação</w:t>
      </w:r>
      <w:r w:rsidR="006842B7">
        <w:rPr>
          <w:sz w:val="22"/>
          <w:szCs w:val="22"/>
        </w:rPr>
        <w:t>.</w:t>
      </w:r>
      <w:r>
        <w:rPr>
          <w:sz w:val="22"/>
          <w:szCs w:val="22"/>
        </w:rPr>
        <w:t xml:space="preserve"> </w:t>
      </w:r>
    </w:p>
    <w:p w14:paraId="2927B09D" w14:textId="18C1C855" w:rsidR="007A127F" w:rsidRPr="003E3F36" w:rsidRDefault="007A127F" w:rsidP="007A127F">
      <w:pPr>
        <w:tabs>
          <w:tab w:val="left" w:pos="-284"/>
        </w:tabs>
        <w:spacing w:before="120" w:line="240" w:lineRule="exact"/>
        <w:jc w:val="both"/>
        <w:rPr>
          <w:sz w:val="22"/>
          <w:szCs w:val="22"/>
        </w:rPr>
      </w:pPr>
      <w:r>
        <w:rPr>
          <w:sz w:val="22"/>
          <w:szCs w:val="22"/>
        </w:rPr>
        <w:t xml:space="preserve">O requerente principal está plenamente ciente da obrigação de informar de imediato a entidade adjudicante a que se destina o presente pedido se o mesmo pedido de financiamento apresentado a outros serviços da Comissão Europeia ou a outras instituições da União Europeia tiver sido aprovado por estes após a apresentação </w:t>
      </w:r>
      <w:r>
        <w:rPr>
          <w:sz w:val="22"/>
          <w:szCs w:val="22"/>
        </w:rPr>
        <w:t>do presente pedido.</w:t>
      </w:r>
    </w:p>
    <w:p w14:paraId="72AF3440" w14:textId="77777777" w:rsidR="007A127F" w:rsidRPr="003E3F36" w:rsidRDefault="007A127F" w:rsidP="007A127F">
      <w:pPr>
        <w:tabs>
          <w:tab w:val="left" w:pos="-284"/>
        </w:tabs>
        <w:spacing w:before="120" w:line="240" w:lineRule="exact"/>
        <w:jc w:val="both"/>
        <w:rPr>
          <w:sz w:val="22"/>
          <w:szCs w:val="22"/>
        </w:rPr>
      </w:pPr>
      <w:r>
        <w:rPr>
          <w:sz w:val="22"/>
          <w:szCs w:val="22"/>
        </w:rPr>
        <w:t>Estamos conscientes de que se participarmos apesar de nos encontrarmos numa das situações enumeradas no ponto 2.6.10.1 do guia prático ou se as declarações ou informações que apresentarmos se revelarem falsas, podemos ser excluídos deste procedimento e sujeitos a sanções administrativas sob forma de exclusão ou a sanções financeiras que podem representar até 10 % do valor total estimado da subvenção em questão, e de que esta informação pode ser publicada no sítio Web da Comissão em conformidade com o Regulamento Financeiro em vigor. Estamos conscientes de que, para efeitos de proteção dos interesses financeiros da UE, os nossos dados pessoais podem ser transferidos para os serviços de auditoria interna, o sistema de deteção precoce e de exclusão, o Tribunal de Contas Europeu, a Instância especializada em matéria de irregularidades financeiras ou para o Organismo Europeu de Luta Antifraude.</w:t>
      </w:r>
    </w:p>
    <w:p w14:paraId="46746473" w14:textId="77777777" w:rsidR="007A127F" w:rsidRPr="003E3F36" w:rsidRDefault="007A127F" w:rsidP="007A127F">
      <w:pPr>
        <w:tabs>
          <w:tab w:val="left" w:pos="-284"/>
        </w:tabs>
        <w:spacing w:before="120" w:line="240" w:lineRule="exact"/>
        <w:rPr>
          <w:sz w:val="22"/>
          <w:szCs w:val="22"/>
        </w:rPr>
      </w:pPr>
    </w:p>
    <w:p w14:paraId="7A3E6A83" w14:textId="77777777" w:rsidR="007A127F" w:rsidRPr="003E3F36" w:rsidRDefault="007A127F" w:rsidP="007A127F">
      <w:pPr>
        <w:tabs>
          <w:tab w:val="left" w:pos="-284"/>
        </w:tabs>
        <w:spacing w:before="120" w:line="240" w:lineRule="exact"/>
        <w:rPr>
          <w:sz w:val="22"/>
          <w:szCs w:val="22"/>
        </w:rPr>
      </w:pPr>
      <w:r>
        <w:rPr>
          <w:sz w:val="22"/>
          <w:szCs w:val="22"/>
        </w:rPr>
        <w:lastRenderedPageBreak/>
        <w:t>Assinado em nome do requerente principal</w:t>
      </w:r>
    </w:p>
    <w:tbl>
      <w:tblPr>
        <w:tblW w:w="0" w:type="auto"/>
        <w:tblInd w:w="8" w:type="dxa"/>
        <w:tblLayout w:type="fixed"/>
        <w:tblCellMar>
          <w:left w:w="0" w:type="dxa"/>
          <w:right w:w="0" w:type="dxa"/>
        </w:tblCellMar>
        <w:tblLook w:val="0000" w:firstRow="0" w:lastRow="0" w:firstColumn="0" w:lastColumn="0" w:noHBand="0" w:noVBand="0"/>
      </w:tblPr>
      <w:tblGrid>
        <w:gridCol w:w="2552"/>
        <w:gridCol w:w="5103"/>
      </w:tblGrid>
      <w:tr w:rsidR="007A127F" w:rsidRPr="003E3F36" w14:paraId="18BC3DDD" w14:textId="77777777" w:rsidTr="009A4E5A">
        <w:trPr>
          <w:cantSplit/>
          <w:trHeight w:val="200"/>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47892285" w14:textId="77777777" w:rsidR="007A127F" w:rsidRPr="003E3F36" w:rsidRDefault="007A127F" w:rsidP="009A4E5A">
            <w:pPr>
              <w:spacing w:before="120"/>
              <w:rPr>
                <w:b/>
                <w:color w:val="000000"/>
                <w:sz w:val="22"/>
                <w:szCs w:val="22"/>
              </w:rPr>
            </w:pPr>
            <w:r>
              <w:rPr>
                <w:b/>
                <w:color w:val="000000"/>
                <w:sz w:val="22"/>
                <w:szCs w:val="22"/>
              </w:rPr>
              <w:t>Nome</w:t>
            </w:r>
          </w:p>
        </w:tc>
        <w:tc>
          <w:tcPr>
            <w:tcW w:w="5103" w:type="dxa"/>
            <w:tcBorders>
              <w:top w:val="single" w:sz="6" w:space="0" w:color="000000"/>
              <w:left w:val="single" w:sz="6" w:space="0" w:color="000000"/>
              <w:bottom w:val="single" w:sz="6" w:space="0" w:color="000000"/>
              <w:right w:val="single" w:sz="6" w:space="0" w:color="000000"/>
            </w:tcBorders>
          </w:tcPr>
          <w:p w14:paraId="72FE16C3" w14:textId="77777777" w:rsidR="007A127F" w:rsidRPr="003E3F36" w:rsidRDefault="007A127F" w:rsidP="009A4E5A">
            <w:pPr>
              <w:spacing w:before="120"/>
              <w:rPr>
                <w:b/>
                <w:color w:val="000000"/>
                <w:sz w:val="22"/>
                <w:szCs w:val="22"/>
              </w:rPr>
            </w:pPr>
          </w:p>
        </w:tc>
      </w:tr>
      <w:tr w:rsidR="007A127F" w:rsidRPr="003E3F36" w14:paraId="47993D0C" w14:textId="77777777" w:rsidTr="009A4E5A">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089E070E" w14:textId="77777777" w:rsidR="007A127F" w:rsidRPr="003E3F36" w:rsidRDefault="007A127F" w:rsidP="009A4E5A">
            <w:pPr>
              <w:spacing w:before="120"/>
              <w:rPr>
                <w:b/>
                <w:color w:val="000000"/>
                <w:sz w:val="22"/>
                <w:szCs w:val="22"/>
              </w:rPr>
            </w:pPr>
            <w:r>
              <w:rPr>
                <w:b/>
                <w:color w:val="000000"/>
                <w:sz w:val="22"/>
                <w:szCs w:val="22"/>
              </w:rPr>
              <w:t>Assinatura</w:t>
            </w:r>
          </w:p>
        </w:tc>
        <w:tc>
          <w:tcPr>
            <w:tcW w:w="5103" w:type="dxa"/>
            <w:tcBorders>
              <w:top w:val="single" w:sz="6" w:space="0" w:color="000000"/>
              <w:left w:val="single" w:sz="6" w:space="0" w:color="000000"/>
              <w:bottom w:val="single" w:sz="6" w:space="0" w:color="000000"/>
              <w:right w:val="single" w:sz="6" w:space="0" w:color="000000"/>
            </w:tcBorders>
          </w:tcPr>
          <w:p w14:paraId="3181474E" w14:textId="77777777" w:rsidR="007A127F" w:rsidRPr="003E3F36" w:rsidRDefault="007A127F" w:rsidP="009A4E5A">
            <w:pPr>
              <w:spacing w:before="120"/>
              <w:rPr>
                <w:b/>
                <w:color w:val="000000"/>
                <w:sz w:val="22"/>
                <w:szCs w:val="22"/>
              </w:rPr>
            </w:pPr>
          </w:p>
        </w:tc>
      </w:tr>
      <w:tr w:rsidR="007A127F" w:rsidRPr="003E3F36" w14:paraId="30D12C31" w14:textId="77777777" w:rsidTr="009A4E5A">
        <w:trPr>
          <w:cantSplit/>
          <w:trHeight w:val="332"/>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5CC7DAA9" w14:textId="77777777" w:rsidR="007A127F" w:rsidRPr="003E3F36" w:rsidRDefault="007A127F" w:rsidP="009A4E5A">
            <w:pPr>
              <w:spacing w:before="120"/>
              <w:rPr>
                <w:b/>
                <w:color w:val="000000"/>
                <w:sz w:val="22"/>
                <w:szCs w:val="22"/>
              </w:rPr>
            </w:pPr>
            <w:r>
              <w:rPr>
                <w:b/>
                <w:color w:val="000000"/>
                <w:sz w:val="22"/>
                <w:szCs w:val="22"/>
              </w:rPr>
              <w:t>Função</w:t>
            </w:r>
          </w:p>
        </w:tc>
        <w:tc>
          <w:tcPr>
            <w:tcW w:w="5103" w:type="dxa"/>
            <w:tcBorders>
              <w:top w:val="single" w:sz="6" w:space="0" w:color="000000"/>
              <w:left w:val="single" w:sz="6" w:space="0" w:color="000000"/>
              <w:bottom w:val="single" w:sz="6" w:space="0" w:color="000000"/>
              <w:right w:val="single" w:sz="6" w:space="0" w:color="000000"/>
            </w:tcBorders>
          </w:tcPr>
          <w:p w14:paraId="7A1C7569" w14:textId="77777777" w:rsidR="007A127F" w:rsidRPr="003E3F36" w:rsidRDefault="007A127F" w:rsidP="009A4E5A">
            <w:pPr>
              <w:spacing w:before="120"/>
              <w:rPr>
                <w:b/>
                <w:color w:val="000000"/>
                <w:sz w:val="22"/>
                <w:szCs w:val="22"/>
              </w:rPr>
            </w:pPr>
          </w:p>
        </w:tc>
      </w:tr>
      <w:tr w:rsidR="007A127F" w:rsidRPr="003E3F36" w14:paraId="67D50BAF" w14:textId="77777777" w:rsidTr="009A4E5A">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63990EC4" w14:textId="77777777" w:rsidR="007A127F" w:rsidRPr="003E3F36" w:rsidRDefault="007A127F" w:rsidP="009A4E5A">
            <w:pPr>
              <w:spacing w:before="120"/>
              <w:rPr>
                <w:b/>
                <w:color w:val="000000"/>
                <w:sz w:val="22"/>
                <w:szCs w:val="22"/>
              </w:rPr>
            </w:pPr>
            <w:r>
              <w:rPr>
                <w:b/>
                <w:color w:val="000000"/>
                <w:sz w:val="22"/>
                <w:szCs w:val="22"/>
              </w:rPr>
              <w:t>Data</w:t>
            </w:r>
          </w:p>
        </w:tc>
        <w:tc>
          <w:tcPr>
            <w:tcW w:w="5103" w:type="dxa"/>
            <w:tcBorders>
              <w:top w:val="single" w:sz="6" w:space="0" w:color="000000"/>
              <w:left w:val="single" w:sz="6" w:space="0" w:color="000000"/>
              <w:bottom w:val="single" w:sz="6" w:space="0" w:color="000000"/>
              <w:right w:val="single" w:sz="6" w:space="0" w:color="000000"/>
            </w:tcBorders>
          </w:tcPr>
          <w:p w14:paraId="01D87389" w14:textId="77777777" w:rsidR="007A127F" w:rsidRPr="003E3F36" w:rsidRDefault="007A127F" w:rsidP="009A4E5A">
            <w:pPr>
              <w:spacing w:before="120"/>
              <w:rPr>
                <w:b/>
                <w:color w:val="000000"/>
                <w:sz w:val="22"/>
                <w:szCs w:val="22"/>
              </w:rPr>
            </w:pPr>
          </w:p>
        </w:tc>
      </w:tr>
    </w:tbl>
    <w:p w14:paraId="66048FDD" w14:textId="77777777" w:rsidR="00E91822" w:rsidRDefault="00E91822"/>
    <w:sectPr w:rsidR="00E9182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0619C"/>
    <w:multiLevelType w:val="multilevel"/>
    <w:tmpl w:val="7256AE28"/>
    <w:lvl w:ilvl="0">
      <w:start w:val="1"/>
      <w:numFmt w:val="decimal"/>
      <w:pStyle w:val="Heading2"/>
      <w:lvlText w:val="%1"/>
      <w:lvlJc w:val="left"/>
      <w:pPr>
        <w:tabs>
          <w:tab w:val="num" w:pos="687"/>
        </w:tabs>
        <w:ind w:left="687" w:hanging="567"/>
      </w:pPr>
      <w:rPr>
        <w:rFonts w:hint="default"/>
      </w:rPr>
    </w:lvl>
    <w:lvl w:ilvl="1">
      <w:start w:val="1"/>
      <w:numFmt w:val="decimal"/>
      <w:pStyle w:val="Heading3"/>
      <w:lvlText w:val="%1.%2."/>
      <w:lvlJc w:val="left"/>
      <w:pPr>
        <w:tabs>
          <w:tab w:val="num" w:pos="290"/>
        </w:tabs>
        <w:ind w:left="120" w:firstLine="0"/>
      </w:pPr>
      <w:rPr>
        <w:rFonts w:hint="default"/>
      </w:rPr>
    </w:lvl>
    <w:lvl w:ilvl="2">
      <w:start w:val="1"/>
      <w:numFmt w:val="decimal"/>
      <w:pStyle w:val="Heading4"/>
      <w:lvlText w:val="%1.%2.%3."/>
      <w:lvlJc w:val="left"/>
      <w:pPr>
        <w:tabs>
          <w:tab w:val="num" w:pos="284"/>
        </w:tabs>
        <w:ind w:left="0" w:firstLine="0"/>
      </w:pPr>
      <w:rPr>
        <w:rFonts w:hint="default"/>
      </w:rPr>
    </w:lvl>
    <w:lvl w:ilvl="3">
      <w:start w:val="1"/>
      <w:numFmt w:val="decimal"/>
      <w:pStyle w:val="Heading5"/>
      <w:lvlText w:val="%1.%2.%3.%4."/>
      <w:lvlJc w:val="left"/>
      <w:pPr>
        <w:tabs>
          <w:tab w:val="num" w:pos="2880"/>
        </w:tabs>
        <w:ind w:left="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6C6F36B0"/>
    <w:multiLevelType w:val="hybridMultilevel"/>
    <w:tmpl w:val="5720F73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2348772">
    <w:abstractNumId w:val="0"/>
  </w:num>
  <w:num w:numId="2" w16cid:durableId="939944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659"/>
    <w:rsid w:val="000F7659"/>
    <w:rsid w:val="00280D57"/>
    <w:rsid w:val="006842B7"/>
    <w:rsid w:val="007065A9"/>
    <w:rsid w:val="0071289A"/>
    <w:rsid w:val="007A127F"/>
    <w:rsid w:val="009B5780"/>
    <w:rsid w:val="00E32EA2"/>
    <w:rsid w:val="00E918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A5CE0"/>
  <w15:chartTrackingRefBased/>
  <w15:docId w15:val="{B38739E1-0258-4A44-906A-23077004F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27F"/>
    <w:pPr>
      <w:spacing w:after="0" w:line="240" w:lineRule="auto"/>
    </w:pPr>
    <w:rPr>
      <w:rFonts w:ascii="Times New Roman" w:eastAsia="Times New Roman" w:hAnsi="Times New Roman" w:cs="Times New Roman"/>
      <w:sz w:val="24"/>
      <w:szCs w:val="24"/>
      <w:lang w:val="pt-PT" w:eastAsia="en-GB"/>
    </w:rPr>
  </w:style>
  <w:style w:type="paragraph" w:styleId="Heading2">
    <w:name w:val="heading 2"/>
    <w:aliases w:val="Apple Heading 2"/>
    <w:basedOn w:val="Normal"/>
    <w:next w:val="Normal"/>
    <w:link w:val="Heading2Char"/>
    <w:autoRedefine/>
    <w:qFormat/>
    <w:rsid w:val="007A127F"/>
    <w:pPr>
      <w:numPr>
        <w:numId w:val="1"/>
      </w:numPr>
      <w:spacing w:before="120"/>
      <w:outlineLvl w:val="1"/>
    </w:pPr>
    <w:rPr>
      <w:rFonts w:ascii="Times New Roman Bold" w:hAnsi="Times New Roman Bold"/>
      <w:b/>
      <w:caps/>
      <w:snapToGrid w:val="0"/>
      <w:spacing w:val="20"/>
      <w:sz w:val="28"/>
      <w:szCs w:val="20"/>
      <w:lang w:eastAsia="en-US"/>
    </w:rPr>
  </w:style>
  <w:style w:type="paragraph" w:styleId="Heading3">
    <w:name w:val="heading 3"/>
    <w:basedOn w:val="Normal"/>
    <w:next w:val="Normal"/>
    <w:link w:val="Heading3Char"/>
    <w:qFormat/>
    <w:rsid w:val="007A127F"/>
    <w:pPr>
      <w:keepNext/>
      <w:numPr>
        <w:ilvl w:val="1"/>
        <w:numId w:val="1"/>
      </w:numPr>
      <w:spacing w:before="240" w:after="60"/>
      <w:outlineLvl w:val="2"/>
    </w:pPr>
    <w:rPr>
      <w:rFonts w:ascii="Cambria" w:hAnsi="Cambria"/>
      <w:b/>
      <w:bCs/>
      <w:sz w:val="26"/>
      <w:szCs w:val="26"/>
    </w:rPr>
  </w:style>
  <w:style w:type="paragraph" w:styleId="Heading4">
    <w:name w:val="heading 4"/>
    <w:aliases w:val="Appl Heading 5"/>
    <w:basedOn w:val="Normal"/>
    <w:next w:val="Normal"/>
    <w:link w:val="Heading4Char"/>
    <w:qFormat/>
    <w:rsid w:val="007A127F"/>
    <w:pPr>
      <w:keepNext/>
      <w:numPr>
        <w:ilvl w:val="2"/>
        <w:numId w:val="1"/>
      </w:numPr>
      <w:spacing w:after="240"/>
      <w:outlineLvl w:val="3"/>
    </w:pPr>
    <w:rPr>
      <w:b/>
      <w:bCs/>
      <w:szCs w:val="28"/>
    </w:rPr>
  </w:style>
  <w:style w:type="paragraph" w:styleId="Heading5">
    <w:name w:val="heading 5"/>
    <w:aliases w:val="Heading 4 bis"/>
    <w:basedOn w:val="Normal"/>
    <w:next w:val="Normal"/>
    <w:link w:val="Heading5Char"/>
    <w:autoRedefine/>
    <w:qFormat/>
    <w:rsid w:val="007A127F"/>
    <w:pPr>
      <w:keepNext/>
      <w:numPr>
        <w:ilvl w:val="3"/>
        <w:numId w:val="1"/>
      </w:numPr>
      <w:spacing w:before="240" w:after="240"/>
      <w:outlineLvl w:val="4"/>
    </w:pPr>
    <w:rPr>
      <w:snapToGrid w:val="0"/>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pple Heading 2 Char"/>
    <w:basedOn w:val="DefaultParagraphFont"/>
    <w:link w:val="Heading2"/>
    <w:rsid w:val="007A127F"/>
    <w:rPr>
      <w:rFonts w:ascii="Times New Roman Bold" w:eastAsia="Times New Roman" w:hAnsi="Times New Roman Bold" w:cs="Times New Roman"/>
      <w:b/>
      <w:caps/>
      <w:snapToGrid w:val="0"/>
      <w:spacing w:val="20"/>
      <w:sz w:val="28"/>
      <w:szCs w:val="20"/>
      <w:lang w:val="pt-PT"/>
    </w:rPr>
  </w:style>
  <w:style w:type="character" w:customStyle="1" w:styleId="Heading3Char">
    <w:name w:val="Heading 3 Char"/>
    <w:basedOn w:val="DefaultParagraphFont"/>
    <w:link w:val="Heading3"/>
    <w:rsid w:val="007A127F"/>
    <w:rPr>
      <w:rFonts w:ascii="Cambria" w:eastAsia="Times New Roman" w:hAnsi="Cambria" w:cs="Times New Roman"/>
      <w:b/>
      <w:bCs/>
      <w:sz w:val="26"/>
      <w:szCs w:val="26"/>
      <w:lang w:val="pt-PT" w:eastAsia="en-GB"/>
    </w:rPr>
  </w:style>
  <w:style w:type="character" w:customStyle="1" w:styleId="Heading4Char">
    <w:name w:val="Heading 4 Char"/>
    <w:aliases w:val="Appl Heading 5 Char"/>
    <w:basedOn w:val="DefaultParagraphFont"/>
    <w:link w:val="Heading4"/>
    <w:rsid w:val="007A127F"/>
    <w:rPr>
      <w:rFonts w:ascii="Times New Roman" w:eastAsia="Times New Roman" w:hAnsi="Times New Roman" w:cs="Times New Roman"/>
      <w:b/>
      <w:bCs/>
      <w:sz w:val="24"/>
      <w:szCs w:val="28"/>
      <w:lang w:val="pt-PT" w:eastAsia="en-GB"/>
    </w:rPr>
  </w:style>
  <w:style w:type="character" w:customStyle="1" w:styleId="Heading5Char">
    <w:name w:val="Heading 5 Char"/>
    <w:aliases w:val="Heading 4 bis Char"/>
    <w:basedOn w:val="DefaultParagraphFont"/>
    <w:link w:val="Heading5"/>
    <w:rsid w:val="007A127F"/>
    <w:rPr>
      <w:rFonts w:ascii="Times New Roman" w:eastAsia="Times New Roman" w:hAnsi="Times New Roman" w:cs="Times New Roman"/>
      <w:snapToGrid w:val="0"/>
      <w:sz w:val="28"/>
      <w:szCs w:val="20"/>
      <w:lang w:val="pt-PT"/>
    </w:rPr>
  </w:style>
  <w:style w:type="character" w:styleId="Hyperlink">
    <w:name w:val="Hyperlink"/>
    <w:uiPriority w:val="99"/>
    <w:rsid w:val="007A127F"/>
    <w:rPr>
      <w:color w:val="0000FF"/>
      <w:u w:val="single"/>
    </w:rPr>
  </w:style>
  <w:style w:type="paragraph" w:styleId="Revision">
    <w:name w:val="Revision"/>
    <w:hidden/>
    <w:uiPriority w:val="99"/>
    <w:semiHidden/>
    <w:rsid w:val="0071289A"/>
    <w:pPr>
      <w:spacing w:after="0" w:line="240" w:lineRule="auto"/>
    </w:pPr>
    <w:rPr>
      <w:rFonts w:ascii="Times New Roman" w:eastAsia="Times New Roman" w:hAnsi="Times New Roman" w:cs="Times New Roman"/>
      <w:sz w:val="24"/>
      <w:szCs w:val="24"/>
      <w:lang w:val="pt-PT"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ikis.ec.europa.eu/display/ExactExternalWiki/2.+Basic+ru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623</Words>
  <Characters>3553</Characters>
  <Application>Microsoft Office Word</Application>
  <DocSecurity>0</DocSecurity>
  <Lines>29</Lines>
  <Paragraphs>8</Paragraphs>
  <ScaleCrop>false</ScaleCrop>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Džiugas Kuprevičius</dc:creator>
  <cp:keywords/>
  <dc:description/>
  <cp:lastModifiedBy>Ugnė Chmeliauskaitė</cp:lastModifiedBy>
  <cp:revision>4</cp:revision>
  <dcterms:created xsi:type="dcterms:W3CDTF">2023-01-03T08:43:00Z</dcterms:created>
  <dcterms:modified xsi:type="dcterms:W3CDTF">2023-01-12T21:51:00Z</dcterms:modified>
</cp:coreProperties>
</file>